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2D613" w14:textId="77777777" w:rsidR="002069F8" w:rsidRPr="002069F8" w:rsidRDefault="002069F8">
      <w:pPr>
        <w:rPr>
          <w:b/>
          <w:bCs/>
          <w:i/>
          <w:iCs/>
          <w:sz w:val="18"/>
          <w:szCs w:val="18"/>
        </w:rPr>
      </w:pPr>
    </w:p>
    <w:p w14:paraId="21B8756C" w14:textId="12AC64FC" w:rsidR="002069F8" w:rsidRPr="00623AEE" w:rsidRDefault="00FA01BB" w:rsidP="00623AEE">
      <w:pPr>
        <w:jc w:val="center"/>
        <w:rPr>
          <w:rStyle w:val="Hyperlink"/>
          <w:b/>
          <w:bCs/>
          <w:i/>
          <w:iCs/>
          <w:color w:val="auto"/>
          <w:sz w:val="32"/>
          <w:szCs w:val="32"/>
          <w:u w:val="none"/>
        </w:rPr>
      </w:pPr>
      <w:r>
        <w:rPr>
          <w:b/>
          <w:bCs/>
          <w:i/>
          <w:iCs/>
          <w:sz w:val="32"/>
          <w:szCs w:val="32"/>
        </w:rPr>
        <w:t>Long Term Care</w:t>
      </w:r>
      <w:r w:rsidR="00E13512">
        <w:rPr>
          <w:b/>
          <w:bCs/>
          <w:i/>
          <w:iCs/>
          <w:sz w:val="32"/>
          <w:szCs w:val="32"/>
        </w:rPr>
        <w:t xml:space="preserve">’s Workforce Crisis is Most Critical in Healthcare; Hinders Access to Essential Services </w:t>
      </w:r>
    </w:p>
    <w:p w14:paraId="2E04AF72" w14:textId="1AF685DA" w:rsidR="000C56FB" w:rsidRDefault="000C56FB" w:rsidP="003C2018">
      <w:pPr>
        <w:ind w:left="-720" w:right="-720"/>
        <w:rPr>
          <w:rStyle w:val="Hyperlink"/>
          <w:color w:val="auto"/>
          <w:u w:val="none"/>
        </w:rPr>
      </w:pPr>
      <w:r>
        <w:rPr>
          <w:rStyle w:val="Hyperlink"/>
          <w:color w:val="auto"/>
          <w:u w:val="none"/>
        </w:rPr>
        <w:t xml:space="preserve">Although staffing shortages have impacted the economy broadly, conditions have been the worst for long term care </w:t>
      </w:r>
      <w:r w:rsidR="00623AEE">
        <w:rPr>
          <w:rStyle w:val="Hyperlink"/>
          <w:color w:val="auto"/>
          <w:u w:val="none"/>
        </w:rPr>
        <w:t xml:space="preserve">residential </w:t>
      </w:r>
      <w:r>
        <w:rPr>
          <w:rStyle w:val="Hyperlink"/>
          <w:color w:val="auto"/>
          <w:u w:val="none"/>
        </w:rPr>
        <w:t>providers</w:t>
      </w:r>
      <w:r w:rsidR="00623AEE">
        <w:rPr>
          <w:rStyle w:val="Hyperlink"/>
          <w:color w:val="auto"/>
          <w:u w:val="none"/>
        </w:rPr>
        <w:t xml:space="preserve">, whose staffing levels have not yet </w:t>
      </w:r>
      <w:r w:rsidR="00FA01BB">
        <w:rPr>
          <w:rStyle w:val="Hyperlink"/>
          <w:color w:val="auto"/>
          <w:u w:val="none"/>
        </w:rPr>
        <w:t>rebounded</w:t>
      </w:r>
      <w:r w:rsidR="00623AEE">
        <w:rPr>
          <w:rStyle w:val="Hyperlink"/>
          <w:color w:val="auto"/>
          <w:u w:val="none"/>
        </w:rPr>
        <w:t xml:space="preserve"> to pre-pandemic levels</w:t>
      </w:r>
      <w:r>
        <w:rPr>
          <w:rStyle w:val="Hyperlink"/>
          <w:color w:val="auto"/>
          <w:u w:val="none"/>
        </w:rPr>
        <w:t>.</w:t>
      </w:r>
      <w:r w:rsidR="00623AEE">
        <w:rPr>
          <w:rStyle w:val="Hyperlink"/>
          <w:color w:val="auto"/>
          <w:u w:val="none"/>
        </w:rPr>
        <w:t xml:space="preserve"> </w:t>
      </w:r>
      <w:r w:rsidR="00FA01BB">
        <w:rPr>
          <w:rStyle w:val="Hyperlink"/>
          <w:color w:val="auto"/>
          <w:u w:val="none"/>
        </w:rPr>
        <w:t>A</w:t>
      </w:r>
      <w:r w:rsidR="00623AEE">
        <w:rPr>
          <w:rStyle w:val="Hyperlink"/>
          <w:color w:val="auto"/>
          <w:u w:val="none"/>
        </w:rPr>
        <w:t xml:space="preserve">mbulatory healthcare employment is </w:t>
      </w:r>
      <w:r w:rsidR="00FC068A">
        <w:rPr>
          <w:rStyle w:val="Hyperlink"/>
          <w:color w:val="auto"/>
          <w:u w:val="none"/>
        </w:rPr>
        <w:t>2.0</w:t>
      </w:r>
      <w:r w:rsidR="00623AEE">
        <w:rPr>
          <w:rStyle w:val="Hyperlink"/>
          <w:color w:val="auto"/>
          <w:u w:val="none"/>
        </w:rPr>
        <w:t>% higher than January 2020</w:t>
      </w:r>
      <w:r w:rsidR="00FA01BB">
        <w:rPr>
          <w:rStyle w:val="Hyperlink"/>
          <w:color w:val="auto"/>
          <w:u w:val="none"/>
        </w:rPr>
        <w:t xml:space="preserve"> and</w:t>
      </w:r>
      <w:r w:rsidR="00623AEE">
        <w:rPr>
          <w:rStyle w:val="Hyperlink"/>
          <w:color w:val="auto"/>
          <w:u w:val="none"/>
        </w:rPr>
        <w:t xml:space="preserve"> hospital employment is at 98</w:t>
      </w:r>
      <w:r w:rsidR="00FC068A">
        <w:rPr>
          <w:rStyle w:val="Hyperlink"/>
          <w:color w:val="auto"/>
          <w:u w:val="none"/>
        </w:rPr>
        <w:t>.1</w:t>
      </w:r>
      <w:r w:rsidR="00623AEE">
        <w:rPr>
          <w:rStyle w:val="Hyperlink"/>
          <w:color w:val="auto"/>
          <w:u w:val="none"/>
        </w:rPr>
        <w:t xml:space="preserve">% of January 2020 levels, </w:t>
      </w:r>
      <w:r w:rsidR="00FA01BB">
        <w:rPr>
          <w:rStyle w:val="Hyperlink"/>
          <w:color w:val="auto"/>
          <w:u w:val="none"/>
        </w:rPr>
        <w:t xml:space="preserve">but </w:t>
      </w:r>
      <w:r w:rsidR="00E041D2">
        <w:rPr>
          <w:rStyle w:val="Hyperlink"/>
          <w:color w:val="auto"/>
          <w:u w:val="none"/>
        </w:rPr>
        <w:t>long-term</w:t>
      </w:r>
      <w:r w:rsidR="00623AEE">
        <w:rPr>
          <w:rStyle w:val="Hyperlink"/>
          <w:color w:val="auto"/>
          <w:u w:val="none"/>
        </w:rPr>
        <w:t xml:space="preserve"> care residential nu</w:t>
      </w:r>
      <w:r w:rsidR="00FC068A">
        <w:rPr>
          <w:rStyle w:val="Hyperlink"/>
          <w:color w:val="auto"/>
          <w:u w:val="none"/>
        </w:rPr>
        <w:t>r</w:t>
      </w:r>
      <w:r w:rsidR="00623AEE">
        <w:rPr>
          <w:rStyle w:val="Hyperlink"/>
          <w:color w:val="auto"/>
          <w:u w:val="none"/>
        </w:rPr>
        <w:t>sing employment has shrunk to 8</w:t>
      </w:r>
      <w:r w:rsidR="00FC068A">
        <w:rPr>
          <w:rStyle w:val="Hyperlink"/>
          <w:color w:val="auto"/>
          <w:u w:val="none"/>
        </w:rPr>
        <w:t>7.8</w:t>
      </w:r>
      <w:r w:rsidR="00623AEE">
        <w:rPr>
          <w:rStyle w:val="Hyperlink"/>
          <w:color w:val="auto"/>
          <w:u w:val="none"/>
        </w:rPr>
        <w:t>%</w:t>
      </w:r>
      <w:r w:rsidR="00FA01BB">
        <w:rPr>
          <w:rStyle w:val="Hyperlink"/>
          <w:color w:val="auto"/>
          <w:u w:val="none"/>
        </w:rPr>
        <w:t>, with no sign of a measurable recovery yet.</w:t>
      </w:r>
    </w:p>
    <w:p w14:paraId="6FFBDC89" w14:textId="78C6C473" w:rsidR="00A72F56" w:rsidRDefault="007B2410" w:rsidP="00A51994">
      <w:pPr>
        <w:ind w:left="-720" w:right="-720"/>
        <w:rPr>
          <w:rStyle w:val="Hyperlink"/>
          <w:color w:val="auto"/>
          <w:u w:val="none"/>
        </w:rPr>
      </w:pPr>
      <w:r>
        <w:rPr>
          <w:noProof/>
        </w:rPr>
        <w:drawing>
          <wp:inline distT="0" distB="0" distL="0" distR="0" wp14:anchorId="691E40BA" wp14:editId="6CF68AE6">
            <wp:extent cx="5943600" cy="4092575"/>
            <wp:effectExtent l="0" t="0" r="0" b="3175"/>
            <wp:docPr id="1" name="Chart 1">
              <a:extLst xmlns:a="http://schemas.openxmlformats.org/drawingml/2006/main">
                <a:ext uri="{FF2B5EF4-FFF2-40B4-BE49-F238E27FC236}">
                  <a16:creationId xmlns:a16="http://schemas.microsoft.com/office/drawing/2014/main" id="{2E47C2A0-97CF-40E4-A9E8-8288D180E27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61DE43F2" w14:textId="11D0CA91" w:rsidR="00FC068A" w:rsidRDefault="00331D6F" w:rsidP="00FC068A">
      <w:pPr>
        <w:ind w:left="-720" w:right="-720"/>
        <w:rPr>
          <w:b/>
          <w:bCs/>
          <w:i/>
          <w:iCs/>
          <w:sz w:val="18"/>
          <w:szCs w:val="18"/>
        </w:rPr>
      </w:pPr>
      <w:r>
        <w:rPr>
          <w:rStyle w:val="Hyperlink"/>
          <w:color w:val="auto"/>
          <w:u w:val="none"/>
        </w:rPr>
        <w:t xml:space="preserve">Long </w:t>
      </w:r>
      <w:r w:rsidR="00FC068A">
        <w:rPr>
          <w:rStyle w:val="Hyperlink"/>
          <w:color w:val="auto"/>
          <w:u w:val="none"/>
        </w:rPr>
        <w:t xml:space="preserve">term care providers are committed to providing quality care for extended periods of time at great expense even as residents exhaust assets and their care needs change. The forced decision of long term care providers to halt or curtail admissions while addressing the staffing crisis has </w:t>
      </w:r>
      <w:r>
        <w:rPr>
          <w:rStyle w:val="Hyperlink"/>
          <w:color w:val="auto"/>
          <w:u w:val="none"/>
        </w:rPr>
        <w:t>contributed to</w:t>
      </w:r>
      <w:r w:rsidR="00FC068A">
        <w:rPr>
          <w:rStyle w:val="Hyperlink"/>
          <w:color w:val="auto"/>
          <w:u w:val="none"/>
        </w:rPr>
        <w:t xml:space="preserve"> a backup of potential residents in hospitals. Preserving access to long term care in Wisconsin requires extensive investment in these essential healthcare services.</w:t>
      </w:r>
    </w:p>
    <w:p w14:paraId="5E4EC7BF" w14:textId="1D4E3523" w:rsidR="007F66F0" w:rsidRDefault="00FA01BB" w:rsidP="00FC068A">
      <w:pPr>
        <w:ind w:left="-720" w:right="-720"/>
        <w:rPr>
          <w:rStyle w:val="Hyperlink"/>
          <w:color w:val="auto"/>
          <w:u w:val="none"/>
        </w:rPr>
      </w:pPr>
      <w:r>
        <w:rPr>
          <w:rStyle w:val="Hyperlink"/>
          <w:color w:val="auto"/>
          <w:u w:val="none"/>
        </w:rPr>
        <w:t>The local effects of the national staffing crisis can be seen in Wisconsin data.  Weekly, National Health Safety Netw</w:t>
      </w:r>
      <w:r>
        <w:rPr>
          <w:rStyle w:val="Hyperlink"/>
          <w:color w:val="auto"/>
          <w:u w:val="none"/>
        </w:rPr>
        <w:t>o</w:t>
      </w:r>
      <w:r>
        <w:rPr>
          <w:rStyle w:val="Hyperlink"/>
          <w:color w:val="auto"/>
          <w:u w:val="none"/>
        </w:rPr>
        <w:t>rk (NSHN) reporting requires</w:t>
      </w:r>
      <w:r w:rsidR="00E04EBE">
        <w:rPr>
          <w:rStyle w:val="Hyperlink"/>
          <w:color w:val="auto"/>
          <w:u w:val="none"/>
        </w:rPr>
        <w:t xml:space="preserve"> nursing</w:t>
      </w:r>
      <w:r>
        <w:rPr>
          <w:rStyle w:val="Hyperlink"/>
          <w:color w:val="auto"/>
          <w:u w:val="none"/>
        </w:rPr>
        <w:t xml:space="preserve"> facilities to report resident census and </w:t>
      </w:r>
      <w:r>
        <w:rPr>
          <w:rStyle w:val="Hyperlink"/>
          <w:color w:val="auto"/>
          <w:u w:val="none"/>
        </w:rPr>
        <w:t>whether</w:t>
      </w:r>
      <w:r>
        <w:rPr>
          <w:rStyle w:val="Hyperlink"/>
          <w:color w:val="auto"/>
          <w:u w:val="none"/>
        </w:rPr>
        <w:t xml:space="preserve"> they are experiencing a caregiver shortage. Tracking these trends over the </w:t>
      </w:r>
      <w:r w:rsidR="00E13512">
        <w:rPr>
          <w:rStyle w:val="Hyperlink"/>
          <w:color w:val="auto"/>
          <w:u w:val="none"/>
        </w:rPr>
        <w:t>last six months</w:t>
      </w:r>
      <w:r>
        <w:rPr>
          <w:rStyle w:val="Hyperlink"/>
          <w:color w:val="auto"/>
          <w:u w:val="none"/>
        </w:rPr>
        <w:t xml:space="preserve"> shows that as provider relief funds were exhausted and resulting </w:t>
      </w:r>
      <w:r>
        <w:rPr>
          <w:rStyle w:val="Hyperlink"/>
          <w:color w:val="auto"/>
          <w:u w:val="none"/>
        </w:rPr>
        <w:t>caregiver</w:t>
      </w:r>
      <w:r>
        <w:rPr>
          <w:rStyle w:val="Hyperlink"/>
          <w:color w:val="auto"/>
          <w:u w:val="none"/>
        </w:rPr>
        <w:t xml:space="preserve"> shortages became more extreme, Wisconsin residents found their access to quality long term care diminished</w:t>
      </w:r>
      <w:r>
        <w:rPr>
          <w:rStyle w:val="Hyperlink"/>
          <w:color w:val="auto"/>
          <w:u w:val="none"/>
        </w:rPr>
        <w:t xml:space="preserve"> </w:t>
      </w:r>
      <w:r>
        <w:rPr>
          <w:rStyle w:val="Hyperlink"/>
          <w:color w:val="auto"/>
          <w:u w:val="none"/>
        </w:rPr>
        <w:t>(see graph</w:t>
      </w:r>
      <w:r w:rsidR="00331D6F">
        <w:rPr>
          <w:rStyle w:val="Hyperlink"/>
          <w:color w:val="auto"/>
          <w:u w:val="none"/>
        </w:rPr>
        <w:t xml:space="preserve"> on next page</w:t>
      </w:r>
      <w:r>
        <w:rPr>
          <w:rStyle w:val="Hyperlink"/>
          <w:color w:val="auto"/>
          <w:u w:val="none"/>
        </w:rPr>
        <w:t>).</w:t>
      </w:r>
    </w:p>
    <w:p w14:paraId="75C7854C" w14:textId="2D3F2C13" w:rsidR="00E04EBE" w:rsidRDefault="00E04EBE" w:rsidP="00FC068A">
      <w:pPr>
        <w:ind w:left="-720" w:right="-720"/>
        <w:rPr>
          <w:rStyle w:val="Hyperlink"/>
          <w:color w:val="auto"/>
          <w:u w:val="none"/>
        </w:rPr>
      </w:pPr>
      <w:r>
        <w:rPr>
          <w:rStyle w:val="Hyperlink"/>
          <w:color w:val="auto"/>
          <w:u w:val="none"/>
        </w:rPr>
        <w:t>[Note: Although the data that follows is from formal required nursing facility reporting, assisted living providers have experienced similar staffing shortages and admissions challenges.]</w:t>
      </w:r>
    </w:p>
    <w:p w14:paraId="0BA93055" w14:textId="77777777" w:rsidR="00967C21" w:rsidRPr="00967C21" w:rsidRDefault="00967C21" w:rsidP="00967C21">
      <w:pPr>
        <w:ind w:left="-720" w:right="-720"/>
        <w:jc w:val="center"/>
        <w:rPr>
          <w:rStyle w:val="Hyperlink"/>
          <w:color w:val="auto"/>
          <w:sz w:val="12"/>
          <w:szCs w:val="12"/>
          <w:u w:val="none"/>
        </w:rPr>
      </w:pPr>
    </w:p>
    <w:p w14:paraId="05E66FFC" w14:textId="285442E6" w:rsidR="00FC068A" w:rsidRDefault="00E13512" w:rsidP="00A72F56">
      <w:pPr>
        <w:ind w:right="-720"/>
        <w:rPr>
          <w:rStyle w:val="Hyperlink"/>
          <w:color w:val="auto"/>
          <w:u w:val="none"/>
        </w:rPr>
      </w:pPr>
      <w:r>
        <w:rPr>
          <w:noProof/>
        </w:rPr>
        <w:lastRenderedPageBreak/>
        <w:drawing>
          <wp:inline distT="0" distB="0" distL="0" distR="0" wp14:anchorId="27425733" wp14:editId="7B677A8C">
            <wp:extent cx="5958840" cy="3581400"/>
            <wp:effectExtent l="0" t="0" r="3810" b="0"/>
            <wp:docPr id="4" name="Chart 4">
              <a:extLst xmlns:a="http://schemas.openxmlformats.org/drawingml/2006/main">
                <a:ext uri="{FF2B5EF4-FFF2-40B4-BE49-F238E27FC236}">
                  <a16:creationId xmlns:a16="http://schemas.microsoft.com/office/drawing/2014/main" id="{BBF1575E-6CC4-4308-BFA3-F1C97B090C7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CDC6A81" w14:textId="51EF6D3B" w:rsidR="00A51994" w:rsidRDefault="00FC068A" w:rsidP="00A51994">
      <w:pPr>
        <w:ind w:left="-720" w:right="-720"/>
        <w:rPr>
          <w:rStyle w:val="Hyperlink"/>
          <w:color w:val="auto"/>
          <w:u w:val="none"/>
        </w:rPr>
      </w:pPr>
      <w:r>
        <w:rPr>
          <w:rStyle w:val="Hyperlink"/>
          <w:color w:val="auto"/>
          <w:u w:val="none"/>
        </w:rPr>
        <w:t>Making the situation worse, Wisconsin nursing homes are not making these decisions for today alone. Providers have been returning bed licenses to the state (see below), positioning the state poorly for an expected increase in long term care needs due</w:t>
      </w:r>
      <w:r w:rsidR="00331D6F">
        <w:rPr>
          <w:rStyle w:val="Hyperlink"/>
          <w:color w:val="auto"/>
          <w:u w:val="none"/>
        </w:rPr>
        <w:t xml:space="preserve"> to</w:t>
      </w:r>
      <w:r>
        <w:rPr>
          <w:rStyle w:val="Hyperlink"/>
          <w:color w:val="auto"/>
          <w:u w:val="none"/>
        </w:rPr>
        <w:t xml:space="preserve"> aging of the population.</w:t>
      </w:r>
      <w:r w:rsidR="00A51994">
        <w:rPr>
          <w:rStyle w:val="Hyperlink"/>
          <w:color w:val="auto"/>
          <w:u w:val="none"/>
        </w:rPr>
        <w:t xml:space="preserve"> </w:t>
      </w:r>
      <w:r w:rsidR="00A51994" w:rsidRPr="00A51994">
        <w:rPr>
          <w:rStyle w:val="Hyperlink"/>
          <w:color w:val="auto"/>
          <w:u w:val="none"/>
        </w:rPr>
        <w:t>S</w:t>
      </w:r>
      <w:r w:rsidR="00A51994" w:rsidRPr="00A51994">
        <w:rPr>
          <w:rStyle w:val="Hyperlink"/>
          <w:color w:val="auto"/>
          <w:u w:val="none"/>
        </w:rPr>
        <w:t>ince the start of the pandemic</w:t>
      </w:r>
      <w:r w:rsidR="00A51994">
        <w:rPr>
          <w:rStyle w:val="Hyperlink"/>
          <w:color w:val="auto"/>
          <w:u w:val="none"/>
        </w:rPr>
        <w:t>,</w:t>
      </w:r>
      <w:r w:rsidR="00A51994" w:rsidRPr="00A51994">
        <w:rPr>
          <w:rStyle w:val="Hyperlink"/>
          <w:color w:val="auto"/>
          <w:u w:val="none"/>
        </w:rPr>
        <w:t xml:space="preserve"> </w:t>
      </w:r>
      <w:r w:rsidR="00A51994">
        <w:rPr>
          <w:rStyle w:val="Hyperlink"/>
          <w:color w:val="auto"/>
          <w:u w:val="none"/>
        </w:rPr>
        <w:t>2116</w:t>
      </w:r>
      <w:r w:rsidR="00A51994" w:rsidRPr="00A51994">
        <w:rPr>
          <w:rStyle w:val="Hyperlink"/>
          <w:color w:val="auto"/>
          <w:u w:val="none"/>
        </w:rPr>
        <w:t xml:space="preserve"> nursing home beds have been erased from the system</w:t>
      </w:r>
      <w:r w:rsidR="00331D6F">
        <w:rPr>
          <w:rStyle w:val="Hyperlink"/>
          <w:color w:val="auto"/>
          <w:u w:val="none"/>
        </w:rPr>
        <w:t xml:space="preserve"> -</w:t>
      </w:r>
      <w:r w:rsidR="00A51994" w:rsidRPr="00A51994">
        <w:rPr>
          <w:rStyle w:val="Hyperlink"/>
          <w:color w:val="auto"/>
          <w:u w:val="none"/>
        </w:rPr>
        <w:t xml:space="preserve"> the equivalent of </w:t>
      </w:r>
      <w:r w:rsidR="00A51994">
        <w:rPr>
          <w:rStyle w:val="Hyperlink"/>
          <w:color w:val="auto"/>
          <w:u w:val="none"/>
        </w:rPr>
        <w:t>thirty</w:t>
      </w:r>
      <w:r w:rsidR="00A51994" w:rsidRPr="00A51994">
        <w:rPr>
          <w:rStyle w:val="Hyperlink"/>
          <w:color w:val="auto"/>
          <w:u w:val="none"/>
        </w:rPr>
        <w:t xml:space="preserve"> 70-bed nursing homes</w:t>
      </w:r>
      <w:r w:rsidR="00331D6F">
        <w:rPr>
          <w:rStyle w:val="Hyperlink"/>
          <w:color w:val="auto"/>
          <w:u w:val="none"/>
        </w:rPr>
        <w:t xml:space="preserve"> -</w:t>
      </w:r>
      <w:r w:rsidR="00A51994" w:rsidRPr="00A51994">
        <w:rPr>
          <w:rStyle w:val="Hyperlink"/>
          <w:color w:val="auto"/>
          <w:u w:val="none"/>
        </w:rPr>
        <w:t xml:space="preserve"> primarily due t</w:t>
      </w:r>
      <w:r w:rsidR="00A51994">
        <w:rPr>
          <w:rStyle w:val="Hyperlink"/>
          <w:color w:val="auto"/>
          <w:u w:val="none"/>
        </w:rPr>
        <w:t>o a</w:t>
      </w:r>
      <w:r w:rsidR="00A51994" w:rsidRPr="00A51994">
        <w:rPr>
          <w:rStyle w:val="Hyperlink"/>
          <w:color w:val="auto"/>
          <w:u w:val="none"/>
        </w:rPr>
        <w:t xml:space="preserve"> lack of staff</w:t>
      </w:r>
      <w:r w:rsidR="00A51994">
        <w:rPr>
          <w:rStyle w:val="Hyperlink"/>
          <w:color w:val="auto"/>
          <w:u w:val="none"/>
        </w:rPr>
        <w:t>.</w:t>
      </w:r>
    </w:p>
    <w:p w14:paraId="238BE943" w14:textId="1FA8BD07" w:rsidR="00FC068A" w:rsidRDefault="00A51994" w:rsidP="00A72F56">
      <w:pPr>
        <w:ind w:right="-720"/>
        <w:rPr>
          <w:rStyle w:val="Hyperlink"/>
          <w:color w:val="auto"/>
          <w:u w:val="none"/>
        </w:rPr>
      </w:pPr>
      <w:r>
        <w:rPr>
          <w:noProof/>
        </w:rPr>
        <w:drawing>
          <wp:inline distT="0" distB="0" distL="0" distR="0" wp14:anchorId="449DDC60" wp14:editId="46A5FEA6">
            <wp:extent cx="5861050" cy="2813050"/>
            <wp:effectExtent l="0" t="0" r="6350" b="6350"/>
            <wp:docPr id="5" name="Chart 5">
              <a:extLst xmlns:a="http://schemas.openxmlformats.org/drawingml/2006/main">
                <a:ext uri="{FF2B5EF4-FFF2-40B4-BE49-F238E27FC236}">
                  <a16:creationId xmlns:a16="http://schemas.microsoft.com/office/drawing/2014/main" id="{4A99DEEC-DD13-411D-B860-E30EED42594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5632BC7" w14:textId="3F5F033A" w:rsidR="006B7F7E" w:rsidRPr="00FE1181" w:rsidRDefault="00623AEE" w:rsidP="00FE1181">
      <w:pPr>
        <w:spacing w:after="0" w:line="240" w:lineRule="auto"/>
        <w:ind w:left="2880" w:right="-720"/>
        <w:jc w:val="right"/>
        <w:rPr>
          <w:b/>
          <w:bCs/>
          <w:i/>
          <w:iCs/>
          <w:sz w:val="18"/>
          <w:szCs w:val="18"/>
        </w:rPr>
      </w:pPr>
      <w:r>
        <w:rPr>
          <w:b/>
          <w:bCs/>
          <w:i/>
          <w:iCs/>
          <w:sz w:val="18"/>
          <w:szCs w:val="18"/>
        </w:rPr>
        <w:t>February</w:t>
      </w:r>
      <w:r w:rsidR="006B7F7E" w:rsidRPr="00FE1181">
        <w:rPr>
          <w:b/>
          <w:bCs/>
          <w:i/>
          <w:iCs/>
          <w:sz w:val="18"/>
          <w:szCs w:val="18"/>
        </w:rPr>
        <w:t xml:space="preserve"> </w:t>
      </w:r>
      <w:r w:rsidR="00E04EBE">
        <w:rPr>
          <w:b/>
          <w:bCs/>
          <w:i/>
          <w:iCs/>
          <w:sz w:val="18"/>
          <w:szCs w:val="18"/>
        </w:rPr>
        <w:t>2</w:t>
      </w:r>
      <w:r>
        <w:rPr>
          <w:b/>
          <w:bCs/>
          <w:i/>
          <w:iCs/>
          <w:sz w:val="18"/>
          <w:szCs w:val="18"/>
        </w:rPr>
        <w:t>8</w:t>
      </w:r>
      <w:r w:rsidR="006B7F7E" w:rsidRPr="00FE1181">
        <w:rPr>
          <w:b/>
          <w:bCs/>
          <w:i/>
          <w:iCs/>
          <w:sz w:val="18"/>
          <w:szCs w:val="18"/>
        </w:rPr>
        <w:t>, 2022</w:t>
      </w:r>
    </w:p>
    <w:p w14:paraId="5FAC3AFD" w14:textId="28936B34" w:rsidR="00D455BB" w:rsidRPr="00FE1181" w:rsidRDefault="006B7F7E" w:rsidP="00FE1181">
      <w:pPr>
        <w:spacing w:after="0" w:line="240" w:lineRule="auto"/>
        <w:ind w:left="2880" w:right="-720"/>
        <w:jc w:val="right"/>
        <w:rPr>
          <w:b/>
          <w:bCs/>
          <w:i/>
          <w:iCs/>
          <w:sz w:val="18"/>
          <w:szCs w:val="18"/>
        </w:rPr>
      </w:pPr>
      <w:r w:rsidRPr="00FE1181">
        <w:rPr>
          <w:b/>
          <w:bCs/>
          <w:i/>
          <w:iCs/>
          <w:sz w:val="18"/>
          <w:szCs w:val="18"/>
        </w:rPr>
        <w:t xml:space="preserve">LeadingAge Wisconsin </w:t>
      </w:r>
    </w:p>
    <w:p w14:paraId="6DAC3775" w14:textId="77777777" w:rsidR="00A51994" w:rsidRDefault="000A4449" w:rsidP="00A51994">
      <w:pPr>
        <w:spacing w:after="0" w:line="240" w:lineRule="auto"/>
        <w:ind w:left="2880" w:right="-720"/>
        <w:jc w:val="right"/>
        <w:rPr>
          <w:b/>
          <w:bCs/>
          <w:i/>
          <w:iCs/>
          <w:sz w:val="18"/>
          <w:szCs w:val="18"/>
        </w:rPr>
      </w:pPr>
      <w:hyperlink r:id="rId10" w:history="1">
        <w:r w:rsidR="00FE1181" w:rsidRPr="008D3C7C">
          <w:rPr>
            <w:rStyle w:val="Hyperlink"/>
            <w:b/>
            <w:bCs/>
            <w:i/>
            <w:iCs/>
            <w:sz w:val="18"/>
            <w:szCs w:val="18"/>
          </w:rPr>
          <w:t>www.LeadingAgeWI.org</w:t>
        </w:r>
      </w:hyperlink>
    </w:p>
    <w:p w14:paraId="5B1E282A" w14:textId="537771C4" w:rsidR="00A51994" w:rsidRPr="00A51994" w:rsidRDefault="00A51994" w:rsidP="00A51994">
      <w:pPr>
        <w:spacing w:after="0" w:line="240" w:lineRule="auto"/>
        <w:ind w:left="-720" w:right="-720"/>
        <w:rPr>
          <w:b/>
          <w:bCs/>
          <w:i/>
          <w:iCs/>
          <w:sz w:val="18"/>
          <w:szCs w:val="18"/>
        </w:rPr>
      </w:pPr>
      <w:r w:rsidRPr="00FE1181">
        <w:rPr>
          <w:sz w:val="18"/>
          <w:szCs w:val="18"/>
        </w:rPr>
        <w:t xml:space="preserve">Source: </w:t>
      </w:r>
      <w:hyperlink r:id="rId11" w:history="1">
        <w:r w:rsidRPr="00FE1181">
          <w:rPr>
            <w:rStyle w:val="Hyperlink"/>
            <w:sz w:val="18"/>
            <w:szCs w:val="18"/>
          </w:rPr>
          <w:t>NHSN Nursing Home Data</w:t>
        </w:r>
      </w:hyperlink>
    </w:p>
    <w:p w14:paraId="07C84317" w14:textId="22D832B6" w:rsidR="009B7E52" w:rsidRPr="00FE1181" w:rsidRDefault="009B7E52" w:rsidP="00A51994">
      <w:pPr>
        <w:spacing w:after="0" w:line="240" w:lineRule="auto"/>
        <w:ind w:left="-720" w:right="-720"/>
        <w:rPr>
          <w:color w:val="0563C1" w:themeColor="hyperlink"/>
          <w:sz w:val="18"/>
          <w:szCs w:val="18"/>
        </w:rPr>
      </w:pPr>
      <w:r w:rsidRPr="00FE1181">
        <w:rPr>
          <w:sz w:val="18"/>
          <w:szCs w:val="18"/>
        </w:rPr>
        <w:t xml:space="preserve">Source: </w:t>
      </w:r>
      <w:hyperlink r:id="rId12" w:history="1">
        <w:r w:rsidRPr="00FE1181">
          <w:rPr>
            <w:rStyle w:val="Hyperlink"/>
            <w:sz w:val="18"/>
            <w:szCs w:val="18"/>
          </w:rPr>
          <w:t>Bureau of Labor Statistics (long-term care)</w:t>
        </w:r>
      </w:hyperlink>
    </w:p>
    <w:p w14:paraId="210E05AB" w14:textId="77777777" w:rsidR="00FE1181" w:rsidRPr="00FE1181" w:rsidRDefault="00163552" w:rsidP="00A51994">
      <w:pPr>
        <w:spacing w:after="0" w:line="240" w:lineRule="auto"/>
        <w:ind w:left="-720" w:right="-720"/>
        <w:rPr>
          <w:rStyle w:val="Hyperlink"/>
          <w:sz w:val="18"/>
          <w:szCs w:val="18"/>
        </w:rPr>
      </w:pPr>
      <w:r w:rsidRPr="00FE1181">
        <w:rPr>
          <w:sz w:val="18"/>
          <w:szCs w:val="18"/>
        </w:rPr>
        <w:t xml:space="preserve">Source: </w:t>
      </w:r>
      <w:hyperlink r:id="rId13" w:history="1">
        <w:r w:rsidRPr="00FE1181">
          <w:rPr>
            <w:rStyle w:val="Hyperlink"/>
            <w:sz w:val="18"/>
            <w:szCs w:val="18"/>
          </w:rPr>
          <w:t>Bureau of Labor Statistics (hospitals)</w:t>
        </w:r>
      </w:hyperlink>
    </w:p>
    <w:p w14:paraId="617C4C20" w14:textId="64475ED5" w:rsidR="00163552" w:rsidRPr="00FE1181" w:rsidRDefault="00163552" w:rsidP="00A51994">
      <w:pPr>
        <w:spacing w:after="0" w:line="240" w:lineRule="auto"/>
        <w:ind w:left="-720" w:right="-720"/>
        <w:rPr>
          <w:color w:val="0563C1" w:themeColor="hyperlink"/>
          <w:sz w:val="18"/>
          <w:szCs w:val="18"/>
          <w:u w:val="single"/>
        </w:rPr>
      </w:pPr>
      <w:r w:rsidRPr="00FE1181">
        <w:rPr>
          <w:sz w:val="18"/>
          <w:szCs w:val="18"/>
        </w:rPr>
        <w:t xml:space="preserve">Source: </w:t>
      </w:r>
      <w:hyperlink r:id="rId14" w:history="1">
        <w:r w:rsidRPr="00FE1181">
          <w:rPr>
            <w:rStyle w:val="Hyperlink"/>
            <w:sz w:val="18"/>
            <w:szCs w:val="18"/>
          </w:rPr>
          <w:t>Bureau of Labor Statistics (ambulatory health care services)</w:t>
        </w:r>
      </w:hyperlink>
    </w:p>
    <w:sectPr w:rsidR="00163552" w:rsidRPr="00FE1181" w:rsidSect="006B7F7E">
      <w:headerReference w:type="default" r:id="rId15"/>
      <w:pgSz w:w="12240" w:h="15840"/>
      <w:pgMar w:top="1440" w:right="1440" w:bottom="4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E7560" w14:textId="77777777" w:rsidR="000A4449" w:rsidRDefault="000A4449" w:rsidP="002F217D">
      <w:pPr>
        <w:spacing w:after="0" w:line="240" w:lineRule="auto"/>
      </w:pPr>
      <w:r>
        <w:separator/>
      </w:r>
    </w:p>
  </w:endnote>
  <w:endnote w:type="continuationSeparator" w:id="0">
    <w:p w14:paraId="3C2E88B9" w14:textId="77777777" w:rsidR="000A4449" w:rsidRDefault="000A4449" w:rsidP="002F21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20E0C" w14:textId="77777777" w:rsidR="000A4449" w:rsidRDefault="000A4449" w:rsidP="002F217D">
      <w:pPr>
        <w:spacing w:after="0" w:line="240" w:lineRule="auto"/>
      </w:pPr>
      <w:r>
        <w:separator/>
      </w:r>
    </w:p>
  </w:footnote>
  <w:footnote w:type="continuationSeparator" w:id="0">
    <w:p w14:paraId="650261EC" w14:textId="77777777" w:rsidR="000A4449" w:rsidRDefault="000A4449" w:rsidP="002F21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B4F53" w14:textId="43673901" w:rsidR="002F217D" w:rsidRDefault="002F217D" w:rsidP="00813B31">
    <w:pPr>
      <w:pStyle w:val="Header"/>
    </w:pPr>
    <w:r>
      <w:rPr>
        <w:noProof/>
      </w:rPr>
      <w:drawing>
        <wp:inline distT="0" distB="0" distL="0" distR="0" wp14:anchorId="22B2C3D1" wp14:editId="6A02AEFB">
          <wp:extent cx="1818990" cy="847725"/>
          <wp:effectExtent l="0" t="0" r="0" b="0"/>
          <wp:docPr id="17" name="Picture 17" descr="Text&#10;&#10;Description automatically generated with medium confidence">
            <a:extLst xmlns:a="http://schemas.openxmlformats.org/drawingml/2006/main">
              <a:ext uri="{FF2B5EF4-FFF2-40B4-BE49-F238E27FC236}">
                <a16:creationId xmlns:a16="http://schemas.microsoft.com/office/drawing/2014/main" id="{D068617C-45A6-4385-93D5-C1FA39F062F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Text&#10;&#10;Description automatically generated with medium confidence">
                    <a:extLst>
                      <a:ext uri="{FF2B5EF4-FFF2-40B4-BE49-F238E27FC236}">
                        <a16:creationId xmlns:a16="http://schemas.microsoft.com/office/drawing/2014/main" id="{D068617C-45A6-4385-93D5-C1FA39F062FA}"/>
                      </a:ext>
                    </a:extLst>
                  </pic:cNvPr>
                  <pic:cNvPicPr>
                    <a:picLocks noChangeAspect="1"/>
                  </pic:cNvPicPr>
                </pic:nvPicPr>
                <pic:blipFill>
                  <a:blip r:embed="rId1"/>
                  <a:stretch>
                    <a:fillRect/>
                  </a:stretch>
                </pic:blipFill>
                <pic:spPr>
                  <a:xfrm>
                    <a:off x="0" y="0"/>
                    <a:ext cx="1844391" cy="85956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23F"/>
    <w:rsid w:val="0004608A"/>
    <w:rsid w:val="00081896"/>
    <w:rsid w:val="000A4449"/>
    <w:rsid w:val="000C56FB"/>
    <w:rsid w:val="000D6565"/>
    <w:rsid w:val="00132D6D"/>
    <w:rsid w:val="00153E9E"/>
    <w:rsid w:val="00163552"/>
    <w:rsid w:val="001B0E79"/>
    <w:rsid w:val="001E0B42"/>
    <w:rsid w:val="002069F8"/>
    <w:rsid w:val="002315D0"/>
    <w:rsid w:val="0023359B"/>
    <w:rsid w:val="002645D6"/>
    <w:rsid w:val="002E15C5"/>
    <w:rsid w:val="002E7E6C"/>
    <w:rsid w:val="002F217D"/>
    <w:rsid w:val="00331D6F"/>
    <w:rsid w:val="00352D59"/>
    <w:rsid w:val="003C2018"/>
    <w:rsid w:val="004C67E4"/>
    <w:rsid w:val="005F7F1C"/>
    <w:rsid w:val="00623AEE"/>
    <w:rsid w:val="006A0E64"/>
    <w:rsid w:val="006B7F7E"/>
    <w:rsid w:val="006E7F4C"/>
    <w:rsid w:val="007B2410"/>
    <w:rsid w:val="007D4AD6"/>
    <w:rsid w:val="007F66F0"/>
    <w:rsid w:val="00813B31"/>
    <w:rsid w:val="0083123F"/>
    <w:rsid w:val="00851D07"/>
    <w:rsid w:val="00864CDB"/>
    <w:rsid w:val="00967C21"/>
    <w:rsid w:val="009757AA"/>
    <w:rsid w:val="009B7E52"/>
    <w:rsid w:val="00A51994"/>
    <w:rsid w:val="00A72F56"/>
    <w:rsid w:val="00AA2B54"/>
    <w:rsid w:val="00B33298"/>
    <w:rsid w:val="00B522ED"/>
    <w:rsid w:val="00C81C7B"/>
    <w:rsid w:val="00D079B6"/>
    <w:rsid w:val="00D36FC6"/>
    <w:rsid w:val="00D455BB"/>
    <w:rsid w:val="00DC1320"/>
    <w:rsid w:val="00E041D2"/>
    <w:rsid w:val="00E04EBE"/>
    <w:rsid w:val="00E13512"/>
    <w:rsid w:val="00E41303"/>
    <w:rsid w:val="00EB1C73"/>
    <w:rsid w:val="00EC6FFC"/>
    <w:rsid w:val="00ED2435"/>
    <w:rsid w:val="00EE15D6"/>
    <w:rsid w:val="00F3477E"/>
    <w:rsid w:val="00FA01BB"/>
    <w:rsid w:val="00FB2A35"/>
    <w:rsid w:val="00FC068A"/>
    <w:rsid w:val="00FE1181"/>
    <w:rsid w:val="00FE7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15CA9"/>
  <w15:chartTrackingRefBased/>
  <w15:docId w15:val="{0FE09985-F22B-4214-BFF5-8FFBF078E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123F"/>
    <w:rPr>
      <w:color w:val="0563C1" w:themeColor="hyperlink"/>
      <w:u w:val="single"/>
    </w:rPr>
  </w:style>
  <w:style w:type="character" w:styleId="UnresolvedMention">
    <w:name w:val="Unresolved Mention"/>
    <w:basedOn w:val="DefaultParagraphFont"/>
    <w:uiPriority w:val="99"/>
    <w:semiHidden/>
    <w:unhideWhenUsed/>
    <w:rsid w:val="0083123F"/>
    <w:rPr>
      <w:color w:val="605E5C"/>
      <w:shd w:val="clear" w:color="auto" w:fill="E1DFDD"/>
    </w:rPr>
  </w:style>
  <w:style w:type="paragraph" w:styleId="Header">
    <w:name w:val="header"/>
    <w:basedOn w:val="Normal"/>
    <w:link w:val="HeaderChar"/>
    <w:uiPriority w:val="99"/>
    <w:unhideWhenUsed/>
    <w:rsid w:val="002F21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217D"/>
  </w:style>
  <w:style w:type="paragraph" w:styleId="Footer">
    <w:name w:val="footer"/>
    <w:basedOn w:val="Normal"/>
    <w:link w:val="FooterChar"/>
    <w:uiPriority w:val="99"/>
    <w:unhideWhenUsed/>
    <w:rsid w:val="002F21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217D"/>
  </w:style>
  <w:style w:type="character" w:styleId="CommentReference">
    <w:name w:val="annotation reference"/>
    <w:basedOn w:val="DefaultParagraphFont"/>
    <w:uiPriority w:val="99"/>
    <w:semiHidden/>
    <w:unhideWhenUsed/>
    <w:rsid w:val="00FA01BB"/>
    <w:rPr>
      <w:sz w:val="16"/>
      <w:szCs w:val="16"/>
    </w:rPr>
  </w:style>
  <w:style w:type="paragraph" w:styleId="CommentText">
    <w:name w:val="annotation text"/>
    <w:basedOn w:val="Normal"/>
    <w:link w:val="CommentTextChar"/>
    <w:uiPriority w:val="99"/>
    <w:unhideWhenUsed/>
    <w:rsid w:val="00FA01BB"/>
    <w:pPr>
      <w:spacing w:line="240" w:lineRule="auto"/>
    </w:pPr>
    <w:rPr>
      <w:sz w:val="20"/>
      <w:szCs w:val="20"/>
    </w:rPr>
  </w:style>
  <w:style w:type="character" w:customStyle="1" w:styleId="CommentTextChar">
    <w:name w:val="Comment Text Char"/>
    <w:basedOn w:val="DefaultParagraphFont"/>
    <w:link w:val="CommentText"/>
    <w:uiPriority w:val="99"/>
    <w:rsid w:val="00FA01B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hyperlink" Target="https://data.bls.gov/timeseries/CES6562200001?amp%253bdata_tool=XGtable&amp;output_view=data&amp;include_graphs=true" TargetMode="Externa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hyperlink" Target="https://data.bls.gov/timeseries/CES6562300001?amp%253bdata_tool=XGtable&amp;output_view=data&amp;include_graphs=tru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data.cms.gov/covid-19/covid-19-nursing-home-data"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LeadingAgeWI.org" TargetMode="Externa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hyperlink" Target="https://data.bls.gov/timeseries/CES6562100001?amp%253bdata_tool=XGtable&amp;output_view=data&amp;include_graphs=tru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reastman\Desktop\Data\BLS%20Data%20022122.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reastman\Desktop\Data\BLS%20Data%20022122.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172.16.10.6\Group%20Folder\Public%20Policy\BEd%20Loss.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r>
              <a:rPr lang="en-US"/>
              <a:t>Healthcare Employment (national)</a:t>
            </a:r>
          </a:p>
        </c:rich>
      </c:tx>
      <c:overlay val="0"/>
      <c:spPr>
        <a:noFill/>
        <a:ln>
          <a:noFill/>
        </a:ln>
        <a:effectLst/>
      </c:spPr>
      <c:txPr>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endParaRPr lang="en-US"/>
        </a:p>
      </c:txPr>
    </c:title>
    <c:autoTitleDeleted val="0"/>
    <c:plotArea>
      <c:layout/>
      <c:lineChart>
        <c:grouping val="standard"/>
        <c:varyColors val="0"/>
        <c:ser>
          <c:idx val="0"/>
          <c:order val="0"/>
          <c:tx>
            <c:strRef>
              <c:f>'3 series chart'!$G$25</c:f>
              <c:strCache>
                <c:ptCount val="1"/>
                <c:pt idx="0">
                  <c:v>Hospital</c:v>
                </c:pt>
              </c:strCache>
            </c:strRef>
          </c:tx>
          <c:spPr>
            <a:ln w="38100" cap="flat" cmpd="dbl" algn="ctr">
              <a:solidFill>
                <a:schemeClr val="accent1"/>
              </a:solidFill>
              <a:miter lim="800000"/>
            </a:ln>
            <a:effectLst/>
          </c:spPr>
          <c:marker>
            <c:symbol val="none"/>
          </c:marker>
          <c:dLbls>
            <c:dLbl>
              <c:idx val="24"/>
              <c:layout>
                <c:manualLayout>
                  <c:x val="-1.0360219395652466E-2"/>
                  <c:y val="-2.6353823692907279E-2"/>
                </c:manualLayout>
              </c:layout>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22AC-4A07-923D-B8DD5BF4650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'3 series chart'!$F$26:$F$50</c:f>
              <c:numCache>
                <c:formatCode>m/d/yy;@</c:formatCode>
                <c:ptCount val="25"/>
                <c:pt idx="0">
                  <c:v>43831</c:v>
                </c:pt>
                <c:pt idx="1">
                  <c:v>43862</c:v>
                </c:pt>
                <c:pt idx="2">
                  <c:v>43891</c:v>
                </c:pt>
                <c:pt idx="3">
                  <c:v>43922</c:v>
                </c:pt>
                <c:pt idx="4">
                  <c:v>43952</c:v>
                </c:pt>
                <c:pt idx="5">
                  <c:v>43983</c:v>
                </c:pt>
                <c:pt idx="6">
                  <c:v>44013</c:v>
                </c:pt>
                <c:pt idx="7">
                  <c:v>44044</c:v>
                </c:pt>
                <c:pt idx="8">
                  <c:v>44075</c:v>
                </c:pt>
                <c:pt idx="9">
                  <c:v>44105</c:v>
                </c:pt>
                <c:pt idx="10">
                  <c:v>44136</c:v>
                </c:pt>
                <c:pt idx="11">
                  <c:v>44166</c:v>
                </c:pt>
                <c:pt idx="12">
                  <c:v>44197</c:v>
                </c:pt>
                <c:pt idx="13">
                  <c:v>44228</c:v>
                </c:pt>
                <c:pt idx="14">
                  <c:v>44256</c:v>
                </c:pt>
                <c:pt idx="15">
                  <c:v>44287</c:v>
                </c:pt>
                <c:pt idx="16">
                  <c:v>44317</c:v>
                </c:pt>
                <c:pt idx="17">
                  <c:v>44348</c:v>
                </c:pt>
                <c:pt idx="18">
                  <c:v>44378</c:v>
                </c:pt>
                <c:pt idx="19">
                  <c:v>44409</c:v>
                </c:pt>
                <c:pt idx="20">
                  <c:v>44440</c:v>
                </c:pt>
                <c:pt idx="21">
                  <c:v>44470</c:v>
                </c:pt>
                <c:pt idx="22">
                  <c:v>44501</c:v>
                </c:pt>
                <c:pt idx="23">
                  <c:v>44531</c:v>
                </c:pt>
                <c:pt idx="24">
                  <c:v>44562</c:v>
                </c:pt>
              </c:numCache>
            </c:numRef>
          </c:cat>
          <c:val>
            <c:numRef>
              <c:f>'3 series chart'!$G$26:$G$50</c:f>
              <c:numCache>
                <c:formatCode>#0.000</c:formatCode>
                <c:ptCount val="25"/>
                <c:pt idx="0">
                  <c:v>1</c:v>
                </c:pt>
                <c:pt idx="1">
                  <c:v>1.0012430437360158</c:v>
                </c:pt>
                <c:pt idx="2">
                  <c:v>1.0013195387351552</c:v>
                </c:pt>
                <c:pt idx="3">
                  <c:v>0.97628655026677635</c:v>
                </c:pt>
                <c:pt idx="4">
                  <c:v>0.96955499034250625</c:v>
                </c:pt>
                <c:pt idx="5">
                  <c:v>0.97123788032357372</c:v>
                </c:pt>
                <c:pt idx="6">
                  <c:v>0.97404907154194775</c:v>
                </c:pt>
                <c:pt idx="7">
                  <c:v>0.97569371402344562</c:v>
                </c:pt>
                <c:pt idx="8">
                  <c:v>0.97577020902258504</c:v>
                </c:pt>
                <c:pt idx="9">
                  <c:v>0.97816067774569226</c:v>
                </c:pt>
                <c:pt idx="10">
                  <c:v>0.97923160773364437</c:v>
                </c:pt>
                <c:pt idx="11">
                  <c:v>0.98644126140253574</c:v>
                </c:pt>
                <c:pt idx="12">
                  <c:v>0.97957583522977187</c:v>
                </c:pt>
                <c:pt idx="13">
                  <c:v>0.97934635023235361</c:v>
                </c:pt>
                <c:pt idx="14">
                  <c:v>0.9813160964601938</c:v>
                </c:pt>
                <c:pt idx="15">
                  <c:v>0.98030253772159648</c:v>
                </c:pt>
                <c:pt idx="16">
                  <c:v>0.98049377521944503</c:v>
                </c:pt>
                <c:pt idx="17">
                  <c:v>0.9802451664722418</c:v>
                </c:pt>
                <c:pt idx="18">
                  <c:v>0.9802451664722418</c:v>
                </c:pt>
                <c:pt idx="19">
                  <c:v>0.98097186896406652</c:v>
                </c:pt>
                <c:pt idx="20">
                  <c:v>0.97942284523149292</c:v>
                </c:pt>
                <c:pt idx="21">
                  <c:v>0.97957583522977187</c:v>
                </c:pt>
                <c:pt idx="22">
                  <c:v>0.9802069189726722</c:v>
                </c:pt>
                <c:pt idx="23">
                  <c:v>0.98058939396836931</c:v>
                </c:pt>
                <c:pt idx="24">
                  <c:v>0.98123960146105438</c:v>
                </c:pt>
              </c:numCache>
            </c:numRef>
          </c:val>
          <c:smooth val="0"/>
          <c:extLst>
            <c:ext xmlns:c16="http://schemas.microsoft.com/office/drawing/2014/chart" uri="{C3380CC4-5D6E-409C-BE32-E72D297353CC}">
              <c16:uniqueId val="{00000000-22AC-4A07-923D-B8DD5BF4650E}"/>
            </c:ext>
          </c:extLst>
        </c:ser>
        <c:ser>
          <c:idx val="1"/>
          <c:order val="1"/>
          <c:tx>
            <c:strRef>
              <c:f>'3 series chart'!$H$25</c:f>
              <c:strCache>
                <c:ptCount val="1"/>
                <c:pt idx="0">
                  <c:v>LTC Residential</c:v>
                </c:pt>
              </c:strCache>
            </c:strRef>
          </c:tx>
          <c:spPr>
            <a:ln w="38100" cap="flat" cmpd="dbl" algn="ctr">
              <a:solidFill>
                <a:schemeClr val="accent2"/>
              </a:solidFill>
              <a:miter lim="800000"/>
            </a:ln>
            <a:effectLst/>
          </c:spPr>
          <c:marker>
            <c:symbol val="none"/>
          </c:marker>
          <c:dLbls>
            <c:dLbl>
              <c:idx val="24"/>
              <c:layout>
                <c:manualLayout>
                  <c:x val="-1.0360219395652466E-2"/>
                  <c:y val="-2.945700445318656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22AC-4A07-923D-B8DD5BF4650E}"/>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'3 series chart'!$F$26:$F$50</c:f>
              <c:numCache>
                <c:formatCode>m/d/yy;@</c:formatCode>
                <c:ptCount val="25"/>
                <c:pt idx="0">
                  <c:v>43831</c:v>
                </c:pt>
                <c:pt idx="1">
                  <c:v>43862</c:v>
                </c:pt>
                <c:pt idx="2">
                  <c:v>43891</c:v>
                </c:pt>
                <c:pt idx="3">
                  <c:v>43922</c:v>
                </c:pt>
                <c:pt idx="4">
                  <c:v>43952</c:v>
                </c:pt>
                <c:pt idx="5">
                  <c:v>43983</c:v>
                </c:pt>
                <c:pt idx="6">
                  <c:v>44013</c:v>
                </c:pt>
                <c:pt idx="7">
                  <c:v>44044</c:v>
                </c:pt>
                <c:pt idx="8">
                  <c:v>44075</c:v>
                </c:pt>
                <c:pt idx="9">
                  <c:v>44105</c:v>
                </c:pt>
                <c:pt idx="10">
                  <c:v>44136</c:v>
                </c:pt>
                <c:pt idx="11">
                  <c:v>44166</c:v>
                </c:pt>
                <c:pt idx="12">
                  <c:v>44197</c:v>
                </c:pt>
                <c:pt idx="13">
                  <c:v>44228</c:v>
                </c:pt>
                <c:pt idx="14">
                  <c:v>44256</c:v>
                </c:pt>
                <c:pt idx="15">
                  <c:v>44287</c:v>
                </c:pt>
                <c:pt idx="16">
                  <c:v>44317</c:v>
                </c:pt>
                <c:pt idx="17">
                  <c:v>44348</c:v>
                </c:pt>
                <c:pt idx="18">
                  <c:v>44378</c:v>
                </c:pt>
                <c:pt idx="19">
                  <c:v>44409</c:v>
                </c:pt>
                <c:pt idx="20">
                  <c:v>44440</c:v>
                </c:pt>
                <c:pt idx="21">
                  <c:v>44470</c:v>
                </c:pt>
                <c:pt idx="22">
                  <c:v>44501</c:v>
                </c:pt>
                <c:pt idx="23">
                  <c:v>44531</c:v>
                </c:pt>
                <c:pt idx="24">
                  <c:v>44562</c:v>
                </c:pt>
              </c:numCache>
            </c:numRef>
          </c:cat>
          <c:val>
            <c:numRef>
              <c:f>'3 series chart'!$H$26:$H$50</c:f>
              <c:numCache>
                <c:formatCode>#0.000</c:formatCode>
                <c:ptCount val="25"/>
                <c:pt idx="0">
                  <c:v>1</c:v>
                </c:pt>
                <c:pt idx="1">
                  <c:v>0.99955604226477635</c:v>
                </c:pt>
                <c:pt idx="2">
                  <c:v>0.99775061414153376</c:v>
                </c:pt>
                <c:pt idx="3">
                  <c:v>0.95998460946517894</c:v>
                </c:pt>
                <c:pt idx="4">
                  <c:v>0.9471098351436944</c:v>
                </c:pt>
                <c:pt idx="5">
                  <c:v>0.94154556486222507</c:v>
                </c:pt>
                <c:pt idx="6">
                  <c:v>0.93524136502205002</c:v>
                </c:pt>
                <c:pt idx="7">
                  <c:v>0.93148252286382338</c:v>
                </c:pt>
                <c:pt idx="8">
                  <c:v>0.92982508065232194</c:v>
                </c:pt>
                <c:pt idx="9">
                  <c:v>0.92745730606446264</c:v>
                </c:pt>
                <c:pt idx="10">
                  <c:v>0.92429040755320102</c:v>
                </c:pt>
                <c:pt idx="11">
                  <c:v>0.92044277384792972</c:v>
                </c:pt>
                <c:pt idx="12">
                  <c:v>0.91407937964305808</c:v>
                </c:pt>
                <c:pt idx="13">
                  <c:v>0.91135643886701989</c:v>
                </c:pt>
                <c:pt idx="14">
                  <c:v>0.90981738538491141</c:v>
                </c:pt>
                <c:pt idx="15">
                  <c:v>0.9042235179210939</c:v>
                </c:pt>
                <c:pt idx="16">
                  <c:v>0.90108621659218047</c:v>
                </c:pt>
                <c:pt idx="17">
                  <c:v>0.89732737443395394</c:v>
                </c:pt>
                <c:pt idx="18">
                  <c:v>0.89401249001095096</c:v>
                </c:pt>
                <c:pt idx="19">
                  <c:v>0.89235504779944952</c:v>
                </c:pt>
                <c:pt idx="20">
                  <c:v>0.87977624530144738</c:v>
                </c:pt>
                <c:pt idx="21">
                  <c:v>0.87876994110160711</c:v>
                </c:pt>
                <c:pt idx="22">
                  <c:v>0.87826678900168709</c:v>
                </c:pt>
                <c:pt idx="23">
                  <c:v>0.87850356646047301</c:v>
                </c:pt>
                <c:pt idx="24">
                  <c:v>0.87847396927812471</c:v>
                </c:pt>
              </c:numCache>
            </c:numRef>
          </c:val>
          <c:smooth val="0"/>
          <c:extLst>
            <c:ext xmlns:c16="http://schemas.microsoft.com/office/drawing/2014/chart" uri="{C3380CC4-5D6E-409C-BE32-E72D297353CC}">
              <c16:uniqueId val="{00000001-22AC-4A07-923D-B8DD5BF4650E}"/>
            </c:ext>
          </c:extLst>
        </c:ser>
        <c:ser>
          <c:idx val="2"/>
          <c:order val="2"/>
          <c:tx>
            <c:strRef>
              <c:f>'3 series chart'!$I$25</c:f>
              <c:strCache>
                <c:ptCount val="1"/>
                <c:pt idx="0">
                  <c:v>Ambulatory</c:v>
                </c:pt>
              </c:strCache>
            </c:strRef>
          </c:tx>
          <c:spPr>
            <a:ln w="38100" cap="flat" cmpd="dbl" algn="ctr">
              <a:solidFill>
                <a:schemeClr val="accent3"/>
              </a:solidFill>
              <a:miter lim="800000"/>
            </a:ln>
            <a:effectLst/>
          </c:spPr>
          <c:marker>
            <c:symbol val="none"/>
          </c:marker>
          <c:dLbls>
            <c:dLbl>
              <c:idx val="24"/>
              <c:layout>
                <c:manualLayout>
                  <c:x val="-5.488424523857751E-3"/>
                  <c:y val="-2.6353823692907334E-2"/>
                </c:manualLayout>
              </c:layout>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22AC-4A07-923D-B8DD5BF4650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'3 series chart'!$F$26:$F$50</c:f>
              <c:numCache>
                <c:formatCode>m/d/yy;@</c:formatCode>
                <c:ptCount val="25"/>
                <c:pt idx="0">
                  <c:v>43831</c:v>
                </c:pt>
                <c:pt idx="1">
                  <c:v>43862</c:v>
                </c:pt>
                <c:pt idx="2">
                  <c:v>43891</c:v>
                </c:pt>
                <c:pt idx="3">
                  <c:v>43922</c:v>
                </c:pt>
                <c:pt idx="4">
                  <c:v>43952</c:v>
                </c:pt>
                <c:pt idx="5">
                  <c:v>43983</c:v>
                </c:pt>
                <c:pt idx="6">
                  <c:v>44013</c:v>
                </c:pt>
                <c:pt idx="7">
                  <c:v>44044</c:v>
                </c:pt>
                <c:pt idx="8">
                  <c:v>44075</c:v>
                </c:pt>
                <c:pt idx="9">
                  <c:v>44105</c:v>
                </c:pt>
                <c:pt idx="10">
                  <c:v>44136</c:v>
                </c:pt>
                <c:pt idx="11">
                  <c:v>44166</c:v>
                </c:pt>
                <c:pt idx="12">
                  <c:v>44197</c:v>
                </c:pt>
                <c:pt idx="13">
                  <c:v>44228</c:v>
                </c:pt>
                <c:pt idx="14">
                  <c:v>44256</c:v>
                </c:pt>
                <c:pt idx="15">
                  <c:v>44287</c:v>
                </c:pt>
                <c:pt idx="16">
                  <c:v>44317</c:v>
                </c:pt>
                <c:pt idx="17">
                  <c:v>44348</c:v>
                </c:pt>
                <c:pt idx="18">
                  <c:v>44378</c:v>
                </c:pt>
                <c:pt idx="19">
                  <c:v>44409</c:v>
                </c:pt>
                <c:pt idx="20">
                  <c:v>44440</c:v>
                </c:pt>
                <c:pt idx="21">
                  <c:v>44470</c:v>
                </c:pt>
                <c:pt idx="22">
                  <c:v>44501</c:v>
                </c:pt>
                <c:pt idx="23">
                  <c:v>44531</c:v>
                </c:pt>
                <c:pt idx="24">
                  <c:v>44562</c:v>
                </c:pt>
              </c:numCache>
            </c:numRef>
          </c:cat>
          <c:val>
            <c:numRef>
              <c:f>'3 series chart'!$I$26:$I$50</c:f>
              <c:numCache>
                <c:formatCode>#0.000</c:formatCode>
                <c:ptCount val="25"/>
                <c:pt idx="0">
                  <c:v>1</c:v>
                </c:pt>
                <c:pt idx="1">
                  <c:v>1.0030558844875663</c:v>
                </c:pt>
                <c:pt idx="2">
                  <c:v>0.9919401046640437</c:v>
                </c:pt>
                <c:pt idx="3">
                  <c:v>0.83170989469931367</c:v>
                </c:pt>
                <c:pt idx="4">
                  <c:v>0.88233571437666325</c:v>
                </c:pt>
                <c:pt idx="5">
                  <c:v>0.93046589505583366</c:v>
                </c:pt>
                <c:pt idx="6">
                  <c:v>0.94765524529839451</c:v>
                </c:pt>
                <c:pt idx="7">
                  <c:v>0.95954772909584019</c:v>
                </c:pt>
                <c:pt idx="8">
                  <c:v>0.96852438977806643</c:v>
                </c:pt>
                <c:pt idx="9">
                  <c:v>0.97568025261978431</c:v>
                </c:pt>
                <c:pt idx="10">
                  <c:v>0.98030227790722846</c:v>
                </c:pt>
                <c:pt idx="11">
                  <c:v>0.98461871474591589</c:v>
                </c:pt>
                <c:pt idx="12">
                  <c:v>0.9838038122158983</c:v>
                </c:pt>
                <c:pt idx="13">
                  <c:v>0.98866776169194137</c:v>
                </c:pt>
                <c:pt idx="14">
                  <c:v>0.99264041152577764</c:v>
                </c:pt>
                <c:pt idx="15">
                  <c:v>0.99705871118071743</c:v>
                </c:pt>
                <c:pt idx="16">
                  <c:v>0.99904503609763551</c:v>
                </c:pt>
                <c:pt idx="17">
                  <c:v>1.0001527942243782</c:v>
                </c:pt>
                <c:pt idx="18">
                  <c:v>1.0040617797980571</c:v>
                </c:pt>
                <c:pt idx="19">
                  <c:v>1.0056024548938718</c:v>
                </c:pt>
                <c:pt idx="20">
                  <c:v>1.0099443574366223</c:v>
                </c:pt>
                <c:pt idx="21">
                  <c:v>1.0142098628671836</c:v>
                </c:pt>
                <c:pt idx="22">
                  <c:v>1.0169474260539619</c:v>
                </c:pt>
                <c:pt idx="23">
                  <c:v>1.0184117040375875</c:v>
                </c:pt>
                <c:pt idx="24">
                  <c:v>1.0202834332862218</c:v>
                </c:pt>
              </c:numCache>
            </c:numRef>
          </c:val>
          <c:smooth val="0"/>
          <c:extLst>
            <c:ext xmlns:c16="http://schemas.microsoft.com/office/drawing/2014/chart" uri="{C3380CC4-5D6E-409C-BE32-E72D297353CC}">
              <c16:uniqueId val="{00000002-22AC-4A07-923D-B8DD5BF4650E}"/>
            </c:ext>
          </c:extLst>
        </c:ser>
        <c:dLbls>
          <c:showLegendKey val="0"/>
          <c:showVal val="0"/>
          <c:showCatName val="0"/>
          <c:showSerName val="0"/>
          <c:showPercent val="0"/>
          <c:showBubbleSize val="0"/>
        </c:dLbls>
        <c:smooth val="0"/>
        <c:axId val="1835843280"/>
        <c:axId val="1835841200"/>
      </c:lineChart>
      <c:dateAx>
        <c:axId val="1835843280"/>
        <c:scaling>
          <c:orientation val="minMax"/>
        </c:scaling>
        <c:delete val="0"/>
        <c:axPos val="b"/>
        <c:numFmt formatCode="m/d/yy;@" sourceLinked="1"/>
        <c:majorTickMark val="out"/>
        <c:minorTickMark val="none"/>
        <c:tickLblPos val="nextTo"/>
        <c:spPr>
          <a:noFill/>
          <a:ln w="3175" cap="flat" cmpd="sng" algn="ctr">
            <a:solidFill>
              <a:schemeClr val="tx1">
                <a:lumMod val="15000"/>
                <a:lumOff val="85000"/>
              </a:schemeClr>
            </a:solidFill>
            <a:round/>
            <a:tailEnd type="none" w="med" len="lg"/>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35841200"/>
        <c:crosses val="autoZero"/>
        <c:auto val="1"/>
        <c:lblOffset val="100"/>
        <c:baseTimeUnit val="months"/>
        <c:majorUnit val="1"/>
        <c:majorTimeUnit val="months"/>
      </c:dateAx>
      <c:valAx>
        <c:axId val="1835841200"/>
        <c:scaling>
          <c:orientation val="minMax"/>
          <c:min val="0.75000000000000011"/>
        </c:scaling>
        <c:delete val="0"/>
        <c:axPos val="l"/>
        <c:majorGridlines>
          <c:spPr>
            <a:ln w="9525" cap="flat" cmpd="sng" algn="ctr">
              <a:solidFill>
                <a:schemeClr val="tx1">
                  <a:lumMod val="15000"/>
                  <a:lumOff val="85000"/>
                  <a:alpha val="32000"/>
                </a:schemeClr>
              </a:solidFill>
              <a:round/>
            </a:ln>
            <a:effectLst/>
          </c:spPr>
        </c:majorGridlines>
        <c:title>
          <c:tx>
            <c:rich>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en-US"/>
                  <a:t> Employment as % of Jan 2020</a:t>
                </a:r>
              </a:p>
            </c:rich>
          </c:tx>
          <c:overlay val="0"/>
          <c:spPr>
            <a:noFill/>
            <a:ln>
              <a:noFill/>
            </a:ln>
            <a:effectLst/>
          </c:spPr>
          <c:txPr>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endParaRPr lang="en-US"/>
            </a:p>
          </c:txPr>
        </c:title>
        <c:numFmt formatCode="0%" sourceLinked="0"/>
        <c:majorTickMark val="none"/>
        <c:minorTickMark val="none"/>
        <c:tickLblPos val="nextTo"/>
        <c:spPr>
          <a:noFill/>
          <a:ln w="3175" cap="flat" cmpd="sng" algn="ctr">
            <a:solidFill>
              <a:schemeClr val="tx1">
                <a:lumMod val="15000"/>
                <a:lumOff val="85000"/>
              </a:schemeClr>
            </a:solidFill>
            <a:round/>
            <a:tailEnd type="none" w="med" len="lg"/>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3584328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r>
              <a:rPr lang="en-US"/>
              <a:t>Nursing Shortages and SNF Occupancy (Wisconsin)</a:t>
            </a:r>
          </a:p>
        </c:rich>
      </c:tx>
      <c:overlay val="0"/>
      <c:spPr>
        <a:noFill/>
        <a:ln>
          <a:noFill/>
        </a:ln>
        <a:effectLst/>
      </c:spPr>
      <c:txPr>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endParaRPr lang="en-US"/>
        </a:p>
      </c:txPr>
    </c:title>
    <c:autoTitleDeleted val="0"/>
    <c:plotArea>
      <c:layout/>
      <c:lineChart>
        <c:grouping val="standard"/>
        <c:varyColors val="0"/>
        <c:ser>
          <c:idx val="3"/>
          <c:order val="3"/>
          <c:tx>
            <c:strRef>
              <c:f>Sheet7!$F$1</c:f>
              <c:strCache>
                <c:ptCount val="1"/>
                <c:pt idx="0">
                  <c:v>Facilities Reporting a Nursing Staff Shortage</c:v>
                </c:pt>
              </c:strCache>
            </c:strRef>
          </c:tx>
          <c:spPr>
            <a:ln w="28575" cap="rnd">
              <a:solidFill>
                <a:schemeClr val="accent4"/>
              </a:solidFill>
              <a:round/>
            </a:ln>
            <a:effectLst/>
          </c:spPr>
          <c:marker>
            <c:symbol val="none"/>
          </c:marker>
          <c:cat>
            <c:numRef>
              <c:f>Sheet7!$B$52:$B$90</c:f>
              <c:numCache>
                <c:formatCode>m/d/yyyy</c:formatCode>
                <c:ptCount val="22"/>
                <c:pt idx="0">
                  <c:v>44444</c:v>
                </c:pt>
                <c:pt idx="1">
                  <c:v>44451</c:v>
                </c:pt>
                <c:pt idx="2">
                  <c:v>44458</c:v>
                </c:pt>
                <c:pt idx="3">
                  <c:v>44465</c:v>
                </c:pt>
                <c:pt idx="4">
                  <c:v>44472</c:v>
                </c:pt>
                <c:pt idx="5">
                  <c:v>44479</c:v>
                </c:pt>
                <c:pt idx="6">
                  <c:v>44486</c:v>
                </c:pt>
                <c:pt idx="7">
                  <c:v>44493</c:v>
                </c:pt>
                <c:pt idx="8">
                  <c:v>44500</c:v>
                </c:pt>
                <c:pt idx="9">
                  <c:v>44507</c:v>
                </c:pt>
                <c:pt idx="10">
                  <c:v>44514</c:v>
                </c:pt>
                <c:pt idx="11">
                  <c:v>44521</c:v>
                </c:pt>
                <c:pt idx="12">
                  <c:v>44528</c:v>
                </c:pt>
                <c:pt idx="13">
                  <c:v>44535</c:v>
                </c:pt>
                <c:pt idx="14">
                  <c:v>44542</c:v>
                </c:pt>
                <c:pt idx="15">
                  <c:v>44549</c:v>
                </c:pt>
                <c:pt idx="16">
                  <c:v>44556</c:v>
                </c:pt>
                <c:pt idx="17">
                  <c:v>44563</c:v>
                </c:pt>
                <c:pt idx="18">
                  <c:v>44570</c:v>
                </c:pt>
                <c:pt idx="19">
                  <c:v>44577</c:v>
                </c:pt>
                <c:pt idx="20">
                  <c:v>44584</c:v>
                </c:pt>
                <c:pt idx="21">
                  <c:v>44591</c:v>
                </c:pt>
              </c:numCache>
              <c:extLst/>
            </c:numRef>
          </c:cat>
          <c:val>
            <c:numRef>
              <c:f>Sheet7!$F$52:$F$90</c:f>
              <c:numCache>
                <c:formatCode>General</c:formatCode>
                <c:ptCount val="22"/>
                <c:pt idx="0">
                  <c:v>125</c:v>
                </c:pt>
                <c:pt idx="1">
                  <c:v>133</c:v>
                </c:pt>
                <c:pt idx="2">
                  <c:v>130</c:v>
                </c:pt>
                <c:pt idx="3">
                  <c:v>140</c:v>
                </c:pt>
                <c:pt idx="4">
                  <c:v>142</c:v>
                </c:pt>
                <c:pt idx="5">
                  <c:v>139</c:v>
                </c:pt>
                <c:pt idx="6">
                  <c:v>145</c:v>
                </c:pt>
                <c:pt idx="7">
                  <c:v>149</c:v>
                </c:pt>
                <c:pt idx="8">
                  <c:v>147</c:v>
                </c:pt>
                <c:pt idx="9">
                  <c:v>144</c:v>
                </c:pt>
                <c:pt idx="10">
                  <c:v>153</c:v>
                </c:pt>
                <c:pt idx="11">
                  <c:v>148</c:v>
                </c:pt>
                <c:pt idx="12">
                  <c:v>152</c:v>
                </c:pt>
                <c:pt idx="13">
                  <c:v>145</c:v>
                </c:pt>
                <c:pt idx="14">
                  <c:v>143</c:v>
                </c:pt>
                <c:pt idx="15">
                  <c:v>140</c:v>
                </c:pt>
                <c:pt idx="16">
                  <c:v>146</c:v>
                </c:pt>
                <c:pt idx="17">
                  <c:v>156</c:v>
                </c:pt>
                <c:pt idx="18">
                  <c:v>161</c:v>
                </c:pt>
                <c:pt idx="19">
                  <c:v>162</c:v>
                </c:pt>
                <c:pt idx="20">
                  <c:v>165</c:v>
                </c:pt>
                <c:pt idx="21">
                  <c:v>156</c:v>
                </c:pt>
              </c:numCache>
              <c:extLst/>
            </c:numRef>
          </c:val>
          <c:smooth val="0"/>
          <c:extLst>
            <c:ext xmlns:c16="http://schemas.microsoft.com/office/drawing/2014/chart" uri="{C3380CC4-5D6E-409C-BE32-E72D297353CC}">
              <c16:uniqueId val="{00000000-F065-47EB-88FA-ED063C578A8E}"/>
            </c:ext>
          </c:extLst>
        </c:ser>
        <c:dLbls>
          <c:showLegendKey val="0"/>
          <c:showVal val="0"/>
          <c:showCatName val="0"/>
          <c:showSerName val="0"/>
          <c:showPercent val="0"/>
          <c:showBubbleSize val="0"/>
        </c:dLbls>
        <c:marker val="1"/>
        <c:smooth val="0"/>
        <c:axId val="825936079"/>
        <c:axId val="825938159"/>
        <c:extLst>
          <c:ext xmlns:c15="http://schemas.microsoft.com/office/drawing/2012/chart" uri="{02D57815-91ED-43cb-92C2-25804820EDAC}">
            <c15:filteredLineSeries>
              <c15:ser>
                <c:idx val="1"/>
                <c:order val="1"/>
                <c:tx>
                  <c:strRef>
                    <c:extLst>
                      <c:ext uri="{02D57815-91ED-43cb-92C2-25804820EDAC}">
                        <c15:formulaRef>
                          <c15:sqref>Sheet7!$D$1</c15:sqref>
                        </c15:formulaRef>
                      </c:ext>
                    </c:extLst>
                    <c:strCache>
                      <c:ptCount val="1"/>
                      <c:pt idx="0">
                        <c:v>Sum of Number of All Beds</c:v>
                      </c:pt>
                    </c:strCache>
                  </c:strRef>
                </c:tx>
                <c:spPr>
                  <a:ln w="28575" cap="rnd">
                    <a:solidFill>
                      <a:schemeClr val="accent2"/>
                    </a:solidFill>
                    <a:round/>
                  </a:ln>
                  <a:effectLst/>
                </c:spPr>
                <c:marker>
                  <c:symbol val="none"/>
                </c:marker>
                <c:cat>
                  <c:numRef>
                    <c:extLst>
                      <c:ext uri="{02D57815-91ED-43cb-92C2-25804820EDAC}">
                        <c15:formulaRef>
                          <c15:sqref>Sheet7!$B$52:$B$90</c15:sqref>
                        </c15:formulaRef>
                      </c:ext>
                    </c:extLst>
                    <c:numCache>
                      <c:formatCode>m/d/yyyy</c:formatCode>
                      <c:ptCount val="22"/>
                      <c:pt idx="0">
                        <c:v>44444</c:v>
                      </c:pt>
                      <c:pt idx="1">
                        <c:v>44451</c:v>
                      </c:pt>
                      <c:pt idx="2">
                        <c:v>44458</c:v>
                      </c:pt>
                      <c:pt idx="3">
                        <c:v>44465</c:v>
                      </c:pt>
                      <c:pt idx="4">
                        <c:v>44472</c:v>
                      </c:pt>
                      <c:pt idx="5">
                        <c:v>44479</c:v>
                      </c:pt>
                      <c:pt idx="6">
                        <c:v>44486</c:v>
                      </c:pt>
                      <c:pt idx="7">
                        <c:v>44493</c:v>
                      </c:pt>
                      <c:pt idx="8">
                        <c:v>44500</c:v>
                      </c:pt>
                      <c:pt idx="9">
                        <c:v>44507</c:v>
                      </c:pt>
                      <c:pt idx="10">
                        <c:v>44514</c:v>
                      </c:pt>
                      <c:pt idx="11">
                        <c:v>44521</c:v>
                      </c:pt>
                      <c:pt idx="12">
                        <c:v>44528</c:v>
                      </c:pt>
                      <c:pt idx="13">
                        <c:v>44535</c:v>
                      </c:pt>
                      <c:pt idx="14">
                        <c:v>44542</c:v>
                      </c:pt>
                      <c:pt idx="15">
                        <c:v>44549</c:v>
                      </c:pt>
                      <c:pt idx="16">
                        <c:v>44556</c:v>
                      </c:pt>
                      <c:pt idx="17">
                        <c:v>44563</c:v>
                      </c:pt>
                      <c:pt idx="18">
                        <c:v>44570</c:v>
                      </c:pt>
                      <c:pt idx="19">
                        <c:v>44577</c:v>
                      </c:pt>
                      <c:pt idx="20">
                        <c:v>44584</c:v>
                      </c:pt>
                      <c:pt idx="21">
                        <c:v>44591</c:v>
                      </c:pt>
                    </c:numCache>
                  </c:numRef>
                </c:cat>
                <c:val>
                  <c:numRef>
                    <c:extLst>
                      <c:ext uri="{02D57815-91ED-43cb-92C2-25804820EDAC}">
                        <c15:formulaRef>
                          <c15:sqref>Sheet7!$D$52:$D$90</c15:sqref>
                        </c15:formulaRef>
                      </c:ext>
                    </c:extLst>
                    <c:numCache>
                      <c:formatCode>General</c:formatCode>
                      <c:ptCount val="22"/>
                      <c:pt idx="0">
                        <c:v>27558</c:v>
                      </c:pt>
                      <c:pt idx="1">
                        <c:v>27409</c:v>
                      </c:pt>
                      <c:pt idx="2">
                        <c:v>27409</c:v>
                      </c:pt>
                      <c:pt idx="3">
                        <c:v>27409</c:v>
                      </c:pt>
                      <c:pt idx="4">
                        <c:v>27409</c:v>
                      </c:pt>
                      <c:pt idx="5">
                        <c:v>27409</c:v>
                      </c:pt>
                      <c:pt idx="6">
                        <c:v>27408</c:v>
                      </c:pt>
                      <c:pt idx="7">
                        <c:v>27398</c:v>
                      </c:pt>
                      <c:pt idx="8">
                        <c:v>27398</c:v>
                      </c:pt>
                      <c:pt idx="9">
                        <c:v>27398</c:v>
                      </c:pt>
                      <c:pt idx="10">
                        <c:v>27360</c:v>
                      </c:pt>
                      <c:pt idx="11">
                        <c:v>27275</c:v>
                      </c:pt>
                      <c:pt idx="12">
                        <c:v>27275</c:v>
                      </c:pt>
                      <c:pt idx="13">
                        <c:v>27313</c:v>
                      </c:pt>
                      <c:pt idx="14">
                        <c:v>27263</c:v>
                      </c:pt>
                      <c:pt idx="15">
                        <c:v>27195</c:v>
                      </c:pt>
                      <c:pt idx="16">
                        <c:v>27190</c:v>
                      </c:pt>
                      <c:pt idx="17">
                        <c:v>27103</c:v>
                      </c:pt>
                      <c:pt idx="18">
                        <c:v>27103</c:v>
                      </c:pt>
                      <c:pt idx="19">
                        <c:v>27241</c:v>
                      </c:pt>
                      <c:pt idx="20">
                        <c:v>27233</c:v>
                      </c:pt>
                      <c:pt idx="21">
                        <c:v>27143</c:v>
                      </c:pt>
                    </c:numCache>
                  </c:numRef>
                </c:val>
                <c:smooth val="0"/>
                <c:extLst>
                  <c:ext xmlns:c16="http://schemas.microsoft.com/office/drawing/2014/chart" uri="{C3380CC4-5D6E-409C-BE32-E72D297353CC}">
                    <c16:uniqueId val="{00000002-F065-47EB-88FA-ED063C578A8E}"/>
                  </c:ext>
                </c:extLst>
              </c15:ser>
            </c15:filteredLineSeries>
            <c15:filteredLineSeries>
              <c15:ser>
                <c:idx val="2"/>
                <c:order val="2"/>
                <c:tx>
                  <c:strRef>
                    <c:extLst xmlns:c15="http://schemas.microsoft.com/office/drawing/2012/chart">
                      <c:ext xmlns:c15="http://schemas.microsoft.com/office/drawing/2012/chart" uri="{02D57815-91ED-43cb-92C2-25804820EDAC}">
                        <c15:formulaRef>
                          <c15:sqref>Sheet7!$E$1</c15:sqref>
                        </c15:formulaRef>
                      </c:ext>
                    </c:extLst>
                    <c:strCache>
                      <c:ptCount val="1"/>
                      <c:pt idx="0">
                        <c:v>Occupancy %</c:v>
                      </c:pt>
                    </c:strCache>
                  </c:strRef>
                </c:tx>
                <c:spPr>
                  <a:ln w="28575" cap="rnd">
                    <a:solidFill>
                      <a:schemeClr val="accent3"/>
                    </a:solidFill>
                    <a:round/>
                  </a:ln>
                  <a:effectLst/>
                </c:spPr>
                <c:marker>
                  <c:symbol val="none"/>
                </c:marker>
                <c:cat>
                  <c:numRef>
                    <c:extLst xmlns:c15="http://schemas.microsoft.com/office/drawing/2012/chart">
                      <c:ext xmlns:c15="http://schemas.microsoft.com/office/drawing/2012/chart" uri="{02D57815-91ED-43cb-92C2-25804820EDAC}">
                        <c15:formulaRef>
                          <c15:sqref>Sheet7!$B$52:$B$90</c15:sqref>
                        </c15:formulaRef>
                      </c:ext>
                    </c:extLst>
                    <c:numCache>
                      <c:formatCode>m/d/yyyy</c:formatCode>
                      <c:ptCount val="22"/>
                      <c:pt idx="0">
                        <c:v>44444</c:v>
                      </c:pt>
                      <c:pt idx="1">
                        <c:v>44451</c:v>
                      </c:pt>
                      <c:pt idx="2">
                        <c:v>44458</c:v>
                      </c:pt>
                      <c:pt idx="3">
                        <c:v>44465</c:v>
                      </c:pt>
                      <c:pt idx="4">
                        <c:v>44472</c:v>
                      </c:pt>
                      <c:pt idx="5">
                        <c:v>44479</c:v>
                      </c:pt>
                      <c:pt idx="6">
                        <c:v>44486</c:v>
                      </c:pt>
                      <c:pt idx="7">
                        <c:v>44493</c:v>
                      </c:pt>
                      <c:pt idx="8">
                        <c:v>44500</c:v>
                      </c:pt>
                      <c:pt idx="9">
                        <c:v>44507</c:v>
                      </c:pt>
                      <c:pt idx="10">
                        <c:v>44514</c:v>
                      </c:pt>
                      <c:pt idx="11">
                        <c:v>44521</c:v>
                      </c:pt>
                      <c:pt idx="12">
                        <c:v>44528</c:v>
                      </c:pt>
                      <c:pt idx="13">
                        <c:v>44535</c:v>
                      </c:pt>
                      <c:pt idx="14">
                        <c:v>44542</c:v>
                      </c:pt>
                      <c:pt idx="15">
                        <c:v>44549</c:v>
                      </c:pt>
                      <c:pt idx="16">
                        <c:v>44556</c:v>
                      </c:pt>
                      <c:pt idx="17">
                        <c:v>44563</c:v>
                      </c:pt>
                      <c:pt idx="18">
                        <c:v>44570</c:v>
                      </c:pt>
                      <c:pt idx="19">
                        <c:v>44577</c:v>
                      </c:pt>
                      <c:pt idx="20">
                        <c:v>44584</c:v>
                      </c:pt>
                      <c:pt idx="21">
                        <c:v>44591</c:v>
                      </c:pt>
                    </c:numCache>
                  </c:numRef>
                </c:cat>
                <c:val>
                  <c:numRef>
                    <c:extLst xmlns:c15="http://schemas.microsoft.com/office/drawing/2012/chart">
                      <c:ext xmlns:c15="http://schemas.microsoft.com/office/drawing/2012/chart" uri="{02D57815-91ED-43cb-92C2-25804820EDAC}">
                        <c15:formulaRef>
                          <c15:sqref>Sheet7!$E$52:$E$90</c15:sqref>
                        </c15:formulaRef>
                      </c:ext>
                    </c:extLst>
                    <c:numCache>
                      <c:formatCode>General</c:formatCode>
                      <c:ptCount val="22"/>
                      <c:pt idx="0">
                        <c:v>0.67631903621452938</c:v>
                      </c:pt>
                      <c:pt idx="1">
                        <c:v>0.67525265423765912</c:v>
                      </c:pt>
                      <c:pt idx="2">
                        <c:v>0.67882812214965882</c:v>
                      </c:pt>
                      <c:pt idx="3">
                        <c:v>0.67426757634353685</c:v>
                      </c:pt>
                      <c:pt idx="4">
                        <c:v>0.67142179576051664</c:v>
                      </c:pt>
                      <c:pt idx="5">
                        <c:v>0.66890437447553719</c:v>
                      </c:pt>
                      <c:pt idx="6">
                        <c:v>0.67440163455925273</c:v>
                      </c:pt>
                      <c:pt idx="7">
                        <c:v>0.66694649244470394</c:v>
                      </c:pt>
                      <c:pt idx="8">
                        <c:v>0.69147383020658437</c:v>
                      </c:pt>
                      <c:pt idx="9">
                        <c:v>0.6620556244981386</c:v>
                      </c:pt>
                      <c:pt idx="10">
                        <c:v>0.66341374269005848</c:v>
                      </c:pt>
                      <c:pt idx="11">
                        <c:v>0.65748854262144818</c:v>
                      </c:pt>
                      <c:pt idx="12">
                        <c:v>0.65495875343721355</c:v>
                      </c:pt>
                      <c:pt idx="13">
                        <c:v>0.65481638780068097</c:v>
                      </c:pt>
                      <c:pt idx="14">
                        <c:v>0.65627407108535374</c:v>
                      </c:pt>
                      <c:pt idx="15">
                        <c:v>0.66607832322118032</c:v>
                      </c:pt>
                      <c:pt idx="16">
                        <c:v>0.65741081279882307</c:v>
                      </c:pt>
                      <c:pt idx="17">
                        <c:v>0.65073977050511012</c:v>
                      </c:pt>
                      <c:pt idx="18">
                        <c:v>0.64590635722982692</c:v>
                      </c:pt>
                      <c:pt idx="19">
                        <c:v>0.64670900480892768</c:v>
                      </c:pt>
                      <c:pt idx="20">
                        <c:v>0.64381448977343669</c:v>
                      </c:pt>
                      <c:pt idx="21">
                        <c:v>0.64108609954684448</c:v>
                      </c:pt>
                    </c:numCache>
                  </c:numRef>
                </c:val>
                <c:smooth val="0"/>
                <c:extLst xmlns:c15="http://schemas.microsoft.com/office/drawing/2012/chart">
                  <c:ext xmlns:c16="http://schemas.microsoft.com/office/drawing/2014/chart" uri="{C3380CC4-5D6E-409C-BE32-E72D297353CC}">
                    <c16:uniqueId val="{00000003-F065-47EB-88FA-ED063C578A8E}"/>
                  </c:ext>
                </c:extLst>
              </c15:ser>
            </c15:filteredLineSeries>
          </c:ext>
        </c:extLst>
      </c:lineChart>
      <c:lineChart>
        <c:grouping val="standard"/>
        <c:varyColors val="0"/>
        <c:ser>
          <c:idx val="0"/>
          <c:order val="0"/>
          <c:tx>
            <c:strRef>
              <c:f>Sheet7!$C$1</c:f>
              <c:strCache>
                <c:ptCount val="1"/>
                <c:pt idx="0">
                  <c:v>Occupied Beds</c:v>
                </c:pt>
              </c:strCache>
            </c:strRef>
          </c:tx>
          <c:spPr>
            <a:ln w="28575" cap="rnd">
              <a:solidFill>
                <a:schemeClr val="accent1"/>
              </a:solidFill>
              <a:round/>
            </a:ln>
            <a:effectLst/>
          </c:spPr>
          <c:marker>
            <c:symbol val="none"/>
          </c:marker>
          <c:cat>
            <c:numRef>
              <c:f>Sheet7!$B$52:$B$90</c:f>
              <c:numCache>
                <c:formatCode>m/d/yyyy</c:formatCode>
                <c:ptCount val="22"/>
                <c:pt idx="0">
                  <c:v>44444</c:v>
                </c:pt>
                <c:pt idx="1">
                  <c:v>44451</c:v>
                </c:pt>
                <c:pt idx="2">
                  <c:v>44458</c:v>
                </c:pt>
                <c:pt idx="3">
                  <c:v>44465</c:v>
                </c:pt>
                <c:pt idx="4">
                  <c:v>44472</c:v>
                </c:pt>
                <c:pt idx="5">
                  <c:v>44479</c:v>
                </c:pt>
                <c:pt idx="6">
                  <c:v>44486</c:v>
                </c:pt>
                <c:pt idx="7">
                  <c:v>44493</c:v>
                </c:pt>
                <c:pt idx="8">
                  <c:v>44500</c:v>
                </c:pt>
                <c:pt idx="9">
                  <c:v>44507</c:v>
                </c:pt>
                <c:pt idx="10">
                  <c:v>44514</c:v>
                </c:pt>
                <c:pt idx="11">
                  <c:v>44521</c:v>
                </c:pt>
                <c:pt idx="12">
                  <c:v>44528</c:v>
                </c:pt>
                <c:pt idx="13">
                  <c:v>44535</c:v>
                </c:pt>
                <c:pt idx="14">
                  <c:v>44542</c:v>
                </c:pt>
                <c:pt idx="15">
                  <c:v>44549</c:v>
                </c:pt>
                <c:pt idx="16">
                  <c:v>44556</c:v>
                </c:pt>
                <c:pt idx="17">
                  <c:v>44563</c:v>
                </c:pt>
                <c:pt idx="18">
                  <c:v>44570</c:v>
                </c:pt>
                <c:pt idx="19">
                  <c:v>44577</c:v>
                </c:pt>
                <c:pt idx="20">
                  <c:v>44584</c:v>
                </c:pt>
                <c:pt idx="21">
                  <c:v>44591</c:v>
                </c:pt>
              </c:numCache>
              <c:extLst/>
            </c:numRef>
          </c:cat>
          <c:val>
            <c:numRef>
              <c:f>Sheet7!$C$52:$C$90</c:f>
              <c:numCache>
                <c:formatCode>General</c:formatCode>
                <c:ptCount val="22"/>
                <c:pt idx="0">
                  <c:v>18638</c:v>
                </c:pt>
                <c:pt idx="1">
                  <c:v>18508</c:v>
                </c:pt>
                <c:pt idx="2">
                  <c:v>18606</c:v>
                </c:pt>
                <c:pt idx="3">
                  <c:v>18481</c:v>
                </c:pt>
                <c:pt idx="4">
                  <c:v>18403</c:v>
                </c:pt>
                <c:pt idx="5">
                  <c:v>18334</c:v>
                </c:pt>
                <c:pt idx="6">
                  <c:v>18484</c:v>
                </c:pt>
                <c:pt idx="7">
                  <c:v>18273</c:v>
                </c:pt>
                <c:pt idx="8">
                  <c:v>18945</c:v>
                </c:pt>
                <c:pt idx="9">
                  <c:v>18139</c:v>
                </c:pt>
                <c:pt idx="10">
                  <c:v>18151</c:v>
                </c:pt>
                <c:pt idx="11">
                  <c:v>17933</c:v>
                </c:pt>
                <c:pt idx="12">
                  <c:v>17864</c:v>
                </c:pt>
                <c:pt idx="13">
                  <c:v>17885</c:v>
                </c:pt>
                <c:pt idx="14">
                  <c:v>17892</c:v>
                </c:pt>
                <c:pt idx="15">
                  <c:v>18114</c:v>
                </c:pt>
                <c:pt idx="16">
                  <c:v>17875</c:v>
                </c:pt>
                <c:pt idx="17">
                  <c:v>17637</c:v>
                </c:pt>
                <c:pt idx="18">
                  <c:v>17506</c:v>
                </c:pt>
                <c:pt idx="19">
                  <c:v>17617</c:v>
                </c:pt>
                <c:pt idx="20">
                  <c:v>17533</c:v>
                </c:pt>
                <c:pt idx="21">
                  <c:v>17401</c:v>
                </c:pt>
              </c:numCache>
              <c:extLst/>
            </c:numRef>
          </c:val>
          <c:smooth val="0"/>
          <c:extLst>
            <c:ext xmlns:c16="http://schemas.microsoft.com/office/drawing/2014/chart" uri="{C3380CC4-5D6E-409C-BE32-E72D297353CC}">
              <c16:uniqueId val="{00000001-F065-47EB-88FA-ED063C578A8E}"/>
            </c:ext>
          </c:extLst>
        </c:ser>
        <c:dLbls>
          <c:showLegendKey val="0"/>
          <c:showVal val="0"/>
          <c:showCatName val="0"/>
          <c:showSerName val="0"/>
          <c:showPercent val="0"/>
          <c:showBubbleSize val="0"/>
        </c:dLbls>
        <c:marker val="1"/>
        <c:smooth val="0"/>
        <c:axId val="389349151"/>
        <c:axId val="389327103"/>
      </c:lineChart>
      <c:dateAx>
        <c:axId val="825936079"/>
        <c:scaling>
          <c:orientation val="minMax"/>
        </c:scaling>
        <c:delete val="0"/>
        <c:axPos val="b"/>
        <c:numFmt formatCode="m/d/yyyy" sourceLinked="1"/>
        <c:majorTickMark val="out"/>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25938159"/>
        <c:crosses val="autoZero"/>
        <c:auto val="1"/>
        <c:lblOffset val="100"/>
        <c:baseTimeUnit val="days"/>
      </c:dateAx>
      <c:valAx>
        <c:axId val="825938159"/>
        <c:scaling>
          <c:orientation val="minMax"/>
          <c:min val="75"/>
        </c:scaling>
        <c:delete val="0"/>
        <c:axPos val="l"/>
        <c:majorGridlines>
          <c:spPr>
            <a:ln>
              <a:solidFill>
                <a:schemeClr val="tx1">
                  <a:lumMod val="15000"/>
                  <a:lumOff val="85000"/>
                </a:schemeClr>
              </a:solidFill>
            </a:ln>
            <a:effectLst/>
          </c:spPr>
        </c:majorGridlines>
        <c:title>
          <c:tx>
            <c:rich>
              <a:bodyPr rot="-54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r>
                  <a:rPr lang="en-US"/>
                  <a:t>Facilities Reporting Nursing Staff Shortage</a:t>
                </a: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25936079"/>
        <c:crosses val="autoZero"/>
        <c:crossBetween val="between"/>
      </c:valAx>
      <c:valAx>
        <c:axId val="389327103"/>
        <c:scaling>
          <c:orientation val="minMax"/>
          <c:max val="20000"/>
          <c:min val="17000"/>
        </c:scaling>
        <c:delete val="0"/>
        <c:axPos val="r"/>
        <c:title>
          <c:tx>
            <c:rich>
              <a:bodyPr rot="-54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r>
                  <a:rPr lang="en-US"/>
                  <a:t> Occupied Nursing Facility Beds</a:t>
                </a:r>
              </a:p>
            </c:rich>
          </c:tx>
          <c:overlay val="0"/>
          <c:spPr>
            <a:noFill/>
            <a:ln>
              <a:noFill/>
            </a:ln>
            <a:effectLst/>
          </c:spPr>
          <c:txPr>
            <a:bodyPr rot="-54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89349151"/>
        <c:crosses val="max"/>
        <c:crossBetween val="between"/>
      </c:valAx>
      <c:dateAx>
        <c:axId val="389349151"/>
        <c:scaling>
          <c:orientation val="minMax"/>
        </c:scaling>
        <c:delete val="1"/>
        <c:axPos val="b"/>
        <c:numFmt formatCode="m/d/yyyy" sourceLinked="1"/>
        <c:majorTickMark val="out"/>
        <c:minorTickMark val="none"/>
        <c:tickLblPos val="nextTo"/>
        <c:crossAx val="389327103"/>
        <c:crosses val="autoZero"/>
        <c:auto val="1"/>
        <c:lblOffset val="100"/>
        <c:baseTimeUnit val="days"/>
      </c:date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cap="all" spc="150" baseline="0">
                <a:solidFill>
                  <a:schemeClr val="tx1">
                    <a:lumMod val="50000"/>
                    <a:lumOff val="50000"/>
                  </a:schemeClr>
                </a:solidFill>
                <a:latin typeface="+mn-lt"/>
                <a:ea typeface="+mn-ea"/>
                <a:cs typeface="+mn-cs"/>
              </a:defRPr>
            </a:pPr>
            <a:r>
              <a:rPr lang="en-US" sz="1200"/>
              <a:t>Wisconsin Nursing Home Bed</a:t>
            </a:r>
            <a:r>
              <a:rPr lang="en-US" sz="1200" baseline="0"/>
              <a:t> </a:t>
            </a:r>
            <a:r>
              <a:rPr lang="en-US" sz="1200"/>
              <a:t>licenseS</a:t>
            </a:r>
          </a:p>
        </c:rich>
      </c:tx>
      <c:layout>
        <c:manualLayout>
          <c:xMode val="edge"/>
          <c:yMode val="edge"/>
          <c:x val="0.14756233595800525"/>
          <c:y val="2.7777777777777776E-2"/>
        </c:manualLayout>
      </c:layout>
      <c:overlay val="0"/>
      <c:spPr>
        <a:noFill/>
        <a:ln>
          <a:noFill/>
        </a:ln>
        <a:effectLst/>
      </c:spPr>
      <c:txPr>
        <a:bodyPr rot="0" spcFirstLastPara="1" vertOverflow="ellipsis" vert="horz" wrap="square" anchor="ctr" anchorCtr="1"/>
        <a:lstStyle/>
        <a:p>
          <a:pPr>
            <a:defRPr sz="1200" b="1" i="0" u="none" strike="noStrike" kern="1200" cap="all" spc="150" baseline="0">
              <a:solidFill>
                <a:schemeClr val="tx1">
                  <a:lumMod val="50000"/>
                  <a:lumOff val="50000"/>
                </a:schemeClr>
              </a:solidFill>
              <a:latin typeface="+mn-lt"/>
              <a:ea typeface="+mn-ea"/>
              <a:cs typeface="+mn-cs"/>
            </a:defRPr>
          </a:pPr>
          <a:endParaRPr lang="en-US"/>
        </a:p>
      </c:txPr>
    </c:title>
    <c:autoTitleDeleted val="0"/>
    <c:plotArea>
      <c:layout/>
      <c:lineChart>
        <c:grouping val="standard"/>
        <c:varyColors val="0"/>
        <c:ser>
          <c:idx val="0"/>
          <c:order val="0"/>
          <c:spPr>
            <a:ln w="38100" cap="flat" cmpd="dbl" algn="ctr">
              <a:solidFill>
                <a:schemeClr val="accent1"/>
              </a:solidFill>
              <a:miter lim="800000"/>
            </a:ln>
            <a:effectLst/>
          </c:spPr>
          <c:marker>
            <c:symbol val="none"/>
          </c:marker>
          <c:dLbls>
            <c:dLbl>
              <c:idx val="0"/>
              <c:layout>
                <c:manualLayout>
                  <c:x val="5.8109979771321218E-3"/>
                  <c:y val="-4.512127141084271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960-4420-98BF-AD8100E27787}"/>
                </c:ext>
              </c:extLst>
            </c:dLbl>
            <c:dLbl>
              <c:idx val="23"/>
              <c:layout>
                <c:manualLayout>
                  <c:x val="-2.9054989885662738E-3"/>
                  <c:y val="-0.1128031785271067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960-4420-98BF-AD8100E2778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Sheet1!$A$2:$A$25</c:f>
              <c:numCache>
                <c:formatCode>mmm\-yy</c:formatCode>
                <c:ptCount val="24"/>
                <c:pt idx="0">
                  <c:v>43891</c:v>
                </c:pt>
                <c:pt idx="1">
                  <c:v>43922</c:v>
                </c:pt>
                <c:pt idx="2">
                  <c:v>43952</c:v>
                </c:pt>
                <c:pt idx="3">
                  <c:v>43983</c:v>
                </c:pt>
                <c:pt idx="4">
                  <c:v>44013</c:v>
                </c:pt>
                <c:pt idx="5">
                  <c:v>44044</c:v>
                </c:pt>
                <c:pt idx="6">
                  <c:v>44075</c:v>
                </c:pt>
                <c:pt idx="7">
                  <c:v>44105</c:v>
                </c:pt>
                <c:pt idx="8">
                  <c:v>44136</c:v>
                </c:pt>
                <c:pt idx="9">
                  <c:v>44166</c:v>
                </c:pt>
                <c:pt idx="10">
                  <c:v>44197</c:v>
                </c:pt>
                <c:pt idx="11">
                  <c:v>44228</c:v>
                </c:pt>
                <c:pt idx="12">
                  <c:v>44256</c:v>
                </c:pt>
                <c:pt idx="13">
                  <c:v>44287</c:v>
                </c:pt>
                <c:pt idx="14">
                  <c:v>44317</c:v>
                </c:pt>
                <c:pt idx="15">
                  <c:v>44348</c:v>
                </c:pt>
                <c:pt idx="16">
                  <c:v>44378</c:v>
                </c:pt>
                <c:pt idx="17">
                  <c:v>44409</c:v>
                </c:pt>
                <c:pt idx="18">
                  <c:v>44440</c:v>
                </c:pt>
                <c:pt idx="19">
                  <c:v>44470</c:v>
                </c:pt>
                <c:pt idx="20">
                  <c:v>44501</c:v>
                </c:pt>
                <c:pt idx="21">
                  <c:v>44531</c:v>
                </c:pt>
                <c:pt idx="22">
                  <c:v>44562</c:v>
                </c:pt>
                <c:pt idx="23">
                  <c:v>44593</c:v>
                </c:pt>
              </c:numCache>
            </c:numRef>
          </c:cat>
          <c:val>
            <c:numRef>
              <c:f>Sheet1!$B$2:$B$25</c:f>
              <c:numCache>
                <c:formatCode>_(* #,##0_);_(* \(#,##0\);_(* "-"??_);_(@_)</c:formatCode>
                <c:ptCount val="24"/>
                <c:pt idx="0">
                  <c:v>28719</c:v>
                </c:pt>
                <c:pt idx="1">
                  <c:v>28447</c:v>
                </c:pt>
                <c:pt idx="2">
                  <c:v>28609</c:v>
                </c:pt>
                <c:pt idx="3">
                  <c:v>28214</c:v>
                </c:pt>
                <c:pt idx="4">
                  <c:v>28183</c:v>
                </c:pt>
                <c:pt idx="5">
                  <c:v>27954</c:v>
                </c:pt>
                <c:pt idx="6">
                  <c:v>27937</c:v>
                </c:pt>
                <c:pt idx="7">
                  <c:v>27914</c:v>
                </c:pt>
                <c:pt idx="8">
                  <c:v>27914</c:v>
                </c:pt>
                <c:pt idx="9">
                  <c:v>27914</c:v>
                </c:pt>
                <c:pt idx="10">
                  <c:v>27769</c:v>
                </c:pt>
                <c:pt idx="11">
                  <c:v>27623</c:v>
                </c:pt>
                <c:pt idx="12">
                  <c:v>27478</c:v>
                </c:pt>
                <c:pt idx="13">
                  <c:v>27332</c:v>
                </c:pt>
                <c:pt idx="14">
                  <c:v>27332</c:v>
                </c:pt>
                <c:pt idx="15">
                  <c:v>27332</c:v>
                </c:pt>
                <c:pt idx="16">
                  <c:v>27174</c:v>
                </c:pt>
                <c:pt idx="17">
                  <c:v>27156</c:v>
                </c:pt>
                <c:pt idx="18">
                  <c:v>27138</c:v>
                </c:pt>
                <c:pt idx="19">
                  <c:v>27120</c:v>
                </c:pt>
                <c:pt idx="20">
                  <c:v>27102</c:v>
                </c:pt>
                <c:pt idx="21">
                  <c:v>26890</c:v>
                </c:pt>
                <c:pt idx="22">
                  <c:v>26678</c:v>
                </c:pt>
                <c:pt idx="23">
                  <c:v>26603</c:v>
                </c:pt>
              </c:numCache>
            </c:numRef>
          </c:val>
          <c:smooth val="0"/>
          <c:extLst>
            <c:ext xmlns:c16="http://schemas.microsoft.com/office/drawing/2014/chart" uri="{C3380CC4-5D6E-409C-BE32-E72D297353CC}">
              <c16:uniqueId val="{00000002-7960-4420-98BF-AD8100E27787}"/>
            </c:ext>
          </c:extLst>
        </c:ser>
        <c:dLbls>
          <c:showLegendKey val="0"/>
          <c:showVal val="0"/>
          <c:showCatName val="0"/>
          <c:showSerName val="0"/>
          <c:showPercent val="0"/>
          <c:showBubbleSize val="0"/>
        </c:dLbls>
        <c:smooth val="0"/>
        <c:axId val="786595232"/>
        <c:axId val="786586048"/>
      </c:lineChart>
      <c:dateAx>
        <c:axId val="786595232"/>
        <c:scaling>
          <c:orientation val="minMax"/>
        </c:scaling>
        <c:delete val="0"/>
        <c:axPos val="b"/>
        <c:numFmt formatCode="mmm\-yy" sourceLinked="1"/>
        <c:majorTickMark val="out"/>
        <c:minorTickMark val="none"/>
        <c:tickLblPos val="nextTo"/>
        <c:spPr>
          <a:noFill/>
          <a:ln w="3175" cap="flat" cmpd="sng" algn="ctr">
            <a:solidFill>
              <a:schemeClr val="tx1">
                <a:lumMod val="15000"/>
                <a:lumOff val="85000"/>
              </a:schemeClr>
            </a:solidFill>
            <a:round/>
            <a:tailEnd type="none" w="med" len="lg"/>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86586048"/>
        <c:crosses val="autoZero"/>
        <c:auto val="1"/>
        <c:lblOffset val="100"/>
        <c:baseTimeUnit val="months"/>
      </c:dateAx>
      <c:valAx>
        <c:axId val="786586048"/>
        <c:scaling>
          <c:orientation val="minMax"/>
          <c:min val="26500"/>
        </c:scaling>
        <c:delete val="0"/>
        <c:axPos val="l"/>
        <c:majorGridlines>
          <c:spPr>
            <a:ln w="9525" cap="flat" cmpd="sng" algn="ctr">
              <a:solidFill>
                <a:schemeClr val="tx1">
                  <a:lumMod val="15000"/>
                  <a:lumOff val="85000"/>
                  <a:alpha val="32000"/>
                </a:schemeClr>
              </a:solidFill>
              <a:round/>
            </a:ln>
            <a:effectLst/>
          </c:spPr>
        </c:majorGridlines>
        <c:title>
          <c:tx>
            <c:rich>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en-US"/>
                  <a:t>Licensed Beds</a:t>
                </a:r>
              </a:p>
            </c:rich>
          </c:tx>
          <c:overlay val="0"/>
          <c:spPr>
            <a:noFill/>
            <a:ln>
              <a:noFill/>
            </a:ln>
            <a:effectLst/>
          </c:spPr>
          <c:txPr>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endParaRPr lang="en-US"/>
            </a:p>
          </c:txPr>
        </c:title>
        <c:numFmt formatCode="_(* #,##0_);_(* \(#,##0\);_(* &quot;-&quot;??_);_(@_)" sourceLinked="1"/>
        <c:majorTickMark val="none"/>
        <c:minorTickMark val="none"/>
        <c:tickLblPos val="nextTo"/>
        <c:spPr>
          <a:noFill/>
          <a:ln w="3175" cap="flat" cmpd="sng" algn="ctr">
            <a:solidFill>
              <a:schemeClr val="tx1">
                <a:lumMod val="15000"/>
                <a:lumOff val="85000"/>
              </a:schemeClr>
            </a:solidFill>
            <a:round/>
            <a:tailEnd type="none" w="med" len="lg"/>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8659523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37">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3175" cap="flat" cmpd="sng" algn="ctr">
        <a:solidFill>
          <a:schemeClr val="tx1">
            <a:lumMod val="15000"/>
            <a:lumOff val="85000"/>
          </a:schemeClr>
        </a:solidFill>
        <a:round/>
        <a:tailEnd type="none" w="med" len="lg"/>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cs:spPr>
  </cs:dataPoint>
  <cs:dataPoint3D>
    <cs:lnRef idx="0"/>
    <cs:fillRef idx="0">
      <cs:styleClr val="auto"/>
    </cs:fillRef>
    <cs:effectRef idx="0"/>
    <cs:fontRef idx="minor">
      <a:schemeClr val="tx1"/>
    </cs:fontRef>
    <cs:spPr>
      <a:solidFill>
        <a:schemeClr val="phClr"/>
      </a:solidFill>
    </cs:spPr>
  </cs:dataPoint3D>
  <cs:dataPointLine>
    <cs:lnRef idx="0">
      <cs:styleClr val="auto"/>
    </cs:lnRef>
    <cs:fillRef idx="0"/>
    <cs:effectRef idx="0"/>
    <cs:fontRef idx="minor">
      <a:schemeClr val="tx1"/>
    </cs:fontRef>
    <cs:spPr>
      <a:ln w="38100" cap="flat" cmpd="dbl" algn="ctr">
        <a:solidFill>
          <a:schemeClr val="phClr"/>
        </a:solidFill>
        <a:miter lim="800000"/>
      </a:ln>
    </cs:spPr>
  </cs:dataPointLine>
  <cs:dataPointMarker>
    <cs:lnRef idx="0">
      <cs:styleClr val="auto"/>
    </cs:lnRef>
    <cs:fillRef idx="0">
      <cs:styleClr val="auto"/>
    </cs:fillRef>
    <cs:effectRef idx="0"/>
    <cs:fontRef idx="minor">
      <a:schemeClr val="tx1"/>
    </cs:fontRef>
    <cs:spPr>
      <a:solidFill>
        <a:schemeClr val="phClr"/>
      </a:solidFill>
      <a:ln w="9525" cap="flat" cmpd="sng" algn="ctr">
        <a:solidFill>
          <a:schemeClr val="lt1"/>
        </a:solidFill>
        <a:round/>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tx1"/>
    </cs:fontRef>
    <cs:spPr>
      <a:ln w="9525">
        <a:solidFill>
          <a:schemeClr val="tx1">
            <a:lumMod val="35000"/>
            <a:lumOff val="65000"/>
          </a:schemeClr>
        </a:solidFill>
      </a:ln>
    </cs:spPr>
  </cs:dropLine>
  <cs:errorBar>
    <cs:lnRef idx="0"/>
    <cs:fillRef idx="0"/>
    <cs:effectRef idx="0"/>
    <cs:fontRef idx="minor">
      <a:schemeClr val="tx1"/>
    </cs:fontRef>
    <cs:spPr>
      <a:ln w="9525">
        <a:solidFill>
          <a:schemeClr val="tx1">
            <a:lumMod val="65000"/>
            <a:lumOff val="35000"/>
          </a:schemeClr>
        </a:solidFill>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alpha val="32000"/>
          </a:schemeClr>
        </a:solidFill>
        <a:round/>
      </a:ln>
    </cs:spPr>
  </cs:gridlineMajor>
  <cs:gridlineMinor>
    <cs:lnRef idx="0"/>
    <cs:fillRef idx="0"/>
    <cs:effectRef idx="0"/>
    <cs:fontRef idx="minor">
      <a:schemeClr val="tx1"/>
    </cs:fontRef>
    <cs:spPr>
      <a:ln>
        <a:solidFill>
          <a:schemeClr val="tx1">
            <a:lumMod val="5000"/>
            <a:lumOff val="95000"/>
            <a:alpha val="32000"/>
          </a:schemeClr>
        </a:solidFill>
      </a:ln>
    </cs:spPr>
  </cs:gridlineMinor>
  <cs:hiLoLine>
    <cs:lnRef idx="0"/>
    <cs:fillRef idx="0"/>
    <cs:effectRef idx="0"/>
    <cs:fontRef idx="minor">
      <a:schemeClr val="tx1"/>
    </cs:fontRef>
    <cs:spPr>
      <a:ln w="9525">
        <a:solidFill>
          <a:schemeClr val="tx1"/>
        </a:solidFill>
      </a:ln>
    </cs:spPr>
  </cs:hiLoLine>
  <cs:leaderLine>
    <cs:lnRef idx="0"/>
    <cs:fillRef idx="0"/>
    <cs:effectRef idx="0"/>
    <cs:fontRef idx="minor">
      <a:schemeClr val="tx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cs:fontRef>
    <cs:spPr>
      <a:ln w="3175" cap="flat" cmpd="sng" algn="ctr">
        <a:solidFill>
          <a:schemeClr val="tx1">
            <a:lumMod val="15000"/>
            <a:lumOff val="85000"/>
          </a:schemeClr>
        </a:solidFill>
        <a:round/>
        <a:tailEnd type="none" w="med" len="lg"/>
      </a:ln>
    </cs:spPr>
    <cs:defRPr sz="900" kern="1200"/>
  </cs:seriesAxis>
  <cs:seriesLine>
    <cs:lnRef idx="0"/>
    <cs:fillRef idx="0"/>
    <cs:effectRef idx="0"/>
    <cs:fontRef idx="minor">
      <a:schemeClr val="tx1"/>
    </cs:fontRef>
    <cs:spPr>
      <a:ln w="9525">
        <a:solidFill>
          <a:schemeClr val="tx1">
            <a:lumMod val="35000"/>
            <a:lumOff val="65000"/>
          </a:schemeClr>
        </a:solidFill>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tx1"/>
    </cs:fontRef>
    <cs:spPr>
      <a:ln w="12700" cap="rnd"/>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3175" cap="flat" cmpd="sng" algn="ctr">
        <a:solidFill>
          <a:schemeClr val="tx1">
            <a:lumMod val="15000"/>
            <a:lumOff val="85000"/>
          </a:schemeClr>
        </a:solidFill>
        <a:round/>
        <a:tailEnd type="none" w="med" len="lg"/>
      </a:ln>
    </cs:spPr>
    <cs:defRPr sz="900" kern="1200"/>
  </cs:valueAxis>
  <cs:wall>
    <cs:lnRef idx="0"/>
    <cs:fillRef idx="0"/>
    <cs:effectRef idx="0"/>
    <cs:fontRef idx="minor">
      <a:schemeClr val="tx1"/>
    </cs:fontRef>
  </cs:wall>
</cs:chartStyle>
</file>

<file path=word/charts/style2.xml><?xml version="1.0" encoding="utf-8"?>
<cs:chartStyle xmlns:cs="http://schemas.microsoft.com/office/drawing/2012/chartStyle" xmlns:a="http://schemas.openxmlformats.org/drawingml/2006/main" id="323">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cap="flat" cmpd="sng" algn="ctr">
        <a:solidFill>
          <a:schemeClr val="tx1">
            <a:lumMod val="65000"/>
            <a:lumOff val="35000"/>
          </a:schemeClr>
        </a:solidFill>
        <a:round/>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15875" cap="flat" cmpd="sng" algn="ctr">
        <a:solidFill>
          <a:schemeClr val="tx1">
            <a:lumMod val="65000"/>
            <a:lumOff val="3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37">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3175" cap="flat" cmpd="sng" algn="ctr">
        <a:solidFill>
          <a:schemeClr val="tx1">
            <a:lumMod val="15000"/>
            <a:lumOff val="85000"/>
          </a:schemeClr>
        </a:solidFill>
        <a:round/>
        <a:tailEnd type="none" w="med" len="lg"/>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cs:spPr>
  </cs:dataPoint>
  <cs:dataPoint3D>
    <cs:lnRef idx="0"/>
    <cs:fillRef idx="0">
      <cs:styleClr val="auto"/>
    </cs:fillRef>
    <cs:effectRef idx="0"/>
    <cs:fontRef idx="minor">
      <a:schemeClr val="tx1"/>
    </cs:fontRef>
    <cs:spPr>
      <a:solidFill>
        <a:schemeClr val="phClr"/>
      </a:solidFill>
    </cs:spPr>
  </cs:dataPoint3D>
  <cs:dataPointLine>
    <cs:lnRef idx="0">
      <cs:styleClr val="auto"/>
    </cs:lnRef>
    <cs:fillRef idx="0"/>
    <cs:effectRef idx="0"/>
    <cs:fontRef idx="minor">
      <a:schemeClr val="tx1"/>
    </cs:fontRef>
    <cs:spPr>
      <a:ln w="38100" cap="flat" cmpd="dbl" algn="ctr">
        <a:solidFill>
          <a:schemeClr val="phClr"/>
        </a:solidFill>
        <a:miter lim="800000"/>
      </a:ln>
    </cs:spPr>
  </cs:dataPointLine>
  <cs:dataPointMarker>
    <cs:lnRef idx="0">
      <cs:styleClr val="auto"/>
    </cs:lnRef>
    <cs:fillRef idx="0">
      <cs:styleClr val="auto"/>
    </cs:fillRef>
    <cs:effectRef idx="0"/>
    <cs:fontRef idx="minor">
      <a:schemeClr val="tx1"/>
    </cs:fontRef>
    <cs:spPr>
      <a:solidFill>
        <a:schemeClr val="phClr"/>
      </a:solidFill>
      <a:ln w="9525" cap="flat" cmpd="sng" algn="ctr">
        <a:solidFill>
          <a:schemeClr val="lt1"/>
        </a:solidFill>
        <a:round/>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tx1"/>
    </cs:fontRef>
    <cs:spPr>
      <a:ln w="9525">
        <a:solidFill>
          <a:schemeClr val="tx1">
            <a:lumMod val="35000"/>
            <a:lumOff val="65000"/>
          </a:schemeClr>
        </a:solidFill>
      </a:ln>
    </cs:spPr>
  </cs:dropLine>
  <cs:errorBar>
    <cs:lnRef idx="0"/>
    <cs:fillRef idx="0"/>
    <cs:effectRef idx="0"/>
    <cs:fontRef idx="minor">
      <a:schemeClr val="tx1"/>
    </cs:fontRef>
    <cs:spPr>
      <a:ln w="9525">
        <a:solidFill>
          <a:schemeClr val="tx1">
            <a:lumMod val="65000"/>
            <a:lumOff val="35000"/>
          </a:schemeClr>
        </a:solidFill>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alpha val="32000"/>
          </a:schemeClr>
        </a:solidFill>
        <a:round/>
      </a:ln>
    </cs:spPr>
  </cs:gridlineMajor>
  <cs:gridlineMinor>
    <cs:lnRef idx="0"/>
    <cs:fillRef idx="0"/>
    <cs:effectRef idx="0"/>
    <cs:fontRef idx="minor">
      <a:schemeClr val="tx1"/>
    </cs:fontRef>
    <cs:spPr>
      <a:ln>
        <a:solidFill>
          <a:schemeClr val="tx1">
            <a:lumMod val="5000"/>
            <a:lumOff val="95000"/>
            <a:alpha val="32000"/>
          </a:schemeClr>
        </a:solidFill>
      </a:ln>
    </cs:spPr>
  </cs:gridlineMinor>
  <cs:hiLoLine>
    <cs:lnRef idx="0"/>
    <cs:fillRef idx="0"/>
    <cs:effectRef idx="0"/>
    <cs:fontRef idx="minor">
      <a:schemeClr val="tx1"/>
    </cs:fontRef>
    <cs:spPr>
      <a:ln w="9525">
        <a:solidFill>
          <a:schemeClr val="tx1"/>
        </a:solidFill>
      </a:ln>
    </cs:spPr>
  </cs:hiLoLine>
  <cs:leaderLine>
    <cs:lnRef idx="0"/>
    <cs:fillRef idx="0"/>
    <cs:effectRef idx="0"/>
    <cs:fontRef idx="minor">
      <a:schemeClr val="tx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cs:fontRef>
    <cs:spPr>
      <a:ln w="3175" cap="flat" cmpd="sng" algn="ctr">
        <a:solidFill>
          <a:schemeClr val="tx1">
            <a:lumMod val="15000"/>
            <a:lumOff val="85000"/>
          </a:schemeClr>
        </a:solidFill>
        <a:round/>
        <a:tailEnd type="none" w="med" len="lg"/>
      </a:ln>
    </cs:spPr>
    <cs:defRPr sz="900" kern="1200"/>
  </cs:seriesAxis>
  <cs:seriesLine>
    <cs:lnRef idx="0"/>
    <cs:fillRef idx="0"/>
    <cs:effectRef idx="0"/>
    <cs:fontRef idx="minor">
      <a:schemeClr val="tx1"/>
    </cs:fontRef>
    <cs:spPr>
      <a:ln w="9525">
        <a:solidFill>
          <a:schemeClr val="tx1">
            <a:lumMod val="35000"/>
            <a:lumOff val="65000"/>
          </a:schemeClr>
        </a:solidFill>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tx1"/>
    </cs:fontRef>
    <cs:spPr>
      <a:ln w="12700" cap="rnd"/>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3175" cap="flat" cmpd="sng" algn="ctr">
        <a:solidFill>
          <a:schemeClr val="tx1">
            <a:lumMod val="15000"/>
            <a:lumOff val="85000"/>
          </a:schemeClr>
        </a:solidFill>
        <a:round/>
        <a:tailEnd type="none" w="med" len="lg"/>
      </a:ln>
    </cs:spPr>
    <cs:defRPr sz="900" kern="1200"/>
  </cs:valueAxis>
  <cs:wall>
    <cs:lnRef idx="0"/>
    <cs:fillRef idx="0"/>
    <cs:effectRef idx="0"/>
    <cs:fontRef idx="minor">
      <a:schemeClr val="tx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6DE968-A0D3-47F4-B7E5-E312BE5B9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2</Pages>
  <Words>436</Words>
  <Characters>2488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 Rapos</dc:creator>
  <cp:keywords/>
  <dc:description/>
  <cp:lastModifiedBy>Rene Eastman</cp:lastModifiedBy>
  <cp:revision>4</cp:revision>
  <dcterms:created xsi:type="dcterms:W3CDTF">2022-02-25T18:35:00Z</dcterms:created>
  <dcterms:modified xsi:type="dcterms:W3CDTF">2022-02-28T15:00:00Z</dcterms:modified>
</cp:coreProperties>
</file>